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CAAF7B" w14:textId="35C2225E" w:rsidR="00FE6B4B" w:rsidRPr="00101B75" w:rsidRDefault="00FE6B4B" w:rsidP="00793EC6">
      <w:pPr>
        <w:tabs>
          <w:tab w:val="left" w:pos="2268"/>
        </w:tabs>
        <w:autoSpaceDE w:val="0"/>
        <w:autoSpaceDN w:val="0"/>
        <w:adjustRightInd w:val="0"/>
        <w:rPr>
          <w:rFonts w:ascii="Arial" w:hAnsi="Arial" w:cs="Arial"/>
          <w:iCs/>
          <w:sz w:val="20"/>
          <w:szCs w:val="20"/>
        </w:rPr>
      </w:pPr>
      <w:r w:rsidRPr="00793EC6">
        <w:rPr>
          <w:rFonts w:ascii="Arial" w:hAnsi="Arial" w:cs="Arial"/>
          <w:iCs/>
          <w:sz w:val="20"/>
          <w:szCs w:val="20"/>
        </w:rPr>
        <w:t>1</w:t>
      </w:r>
      <w:r w:rsidR="00FC7138" w:rsidRPr="00793EC6">
        <w:rPr>
          <w:rFonts w:ascii="Arial" w:hAnsi="Arial" w:cs="Arial"/>
          <w:iCs/>
          <w:sz w:val="20"/>
          <w:szCs w:val="20"/>
        </w:rPr>
        <w:t>5</w:t>
      </w:r>
      <w:r w:rsidRPr="00793EC6">
        <w:rPr>
          <w:rFonts w:ascii="Arial" w:hAnsi="Arial" w:cs="Arial"/>
          <w:iCs/>
          <w:sz w:val="20"/>
          <w:szCs w:val="20"/>
        </w:rPr>
        <w:t>.</w:t>
      </w:r>
      <w:r w:rsidRPr="00101B75">
        <w:rPr>
          <w:rFonts w:ascii="Arial" w:hAnsi="Arial" w:cs="Arial"/>
          <w:iCs/>
          <w:sz w:val="20"/>
          <w:szCs w:val="20"/>
        </w:rPr>
        <w:t xml:space="preserve"> melléklet a</w:t>
      </w:r>
      <w:ins w:id="0" w:author="MNB" w:date="2024-12-04T12:05:00Z">
        <w:r w:rsidR="00C40EB7">
          <w:rPr>
            <w:rFonts w:ascii="Arial" w:hAnsi="Arial" w:cs="Arial"/>
            <w:iCs/>
            <w:sz w:val="20"/>
            <w:szCs w:val="20"/>
          </w:rPr>
          <w:t>z 55</w:t>
        </w:r>
      </w:ins>
      <w:del w:id="1" w:author="MNB" w:date="2024-12-04T12:05:00Z">
        <w:r w:rsidRPr="00101B75" w:rsidDel="00C40EB7">
          <w:rPr>
            <w:rFonts w:ascii="Arial" w:hAnsi="Arial" w:cs="Arial"/>
            <w:iCs/>
            <w:sz w:val="20"/>
            <w:szCs w:val="20"/>
          </w:rPr>
          <w:delText xml:space="preserve"> </w:delText>
        </w:r>
        <w:r w:rsidR="005E3512" w:rsidDel="00C40EB7">
          <w:rPr>
            <w:rFonts w:ascii="Arial" w:hAnsi="Arial" w:cs="Arial"/>
            <w:iCs/>
            <w:sz w:val="20"/>
            <w:szCs w:val="20"/>
          </w:rPr>
          <w:delText>…</w:delText>
        </w:r>
      </w:del>
      <w:r w:rsidR="00101B75">
        <w:rPr>
          <w:rFonts w:ascii="Arial" w:hAnsi="Arial" w:cs="Arial"/>
          <w:iCs/>
          <w:sz w:val="20"/>
          <w:szCs w:val="20"/>
        </w:rPr>
        <w:t>/</w:t>
      </w:r>
      <w:r w:rsidR="000972EA">
        <w:rPr>
          <w:rFonts w:ascii="Arial" w:hAnsi="Arial" w:cs="Arial"/>
          <w:iCs/>
          <w:sz w:val="20"/>
          <w:szCs w:val="20"/>
        </w:rPr>
        <w:t>202</w:t>
      </w:r>
      <w:r w:rsidR="00E81C51">
        <w:rPr>
          <w:rFonts w:ascii="Arial" w:hAnsi="Arial" w:cs="Arial"/>
          <w:iCs/>
          <w:sz w:val="20"/>
          <w:szCs w:val="20"/>
        </w:rPr>
        <w:t>4</w:t>
      </w:r>
      <w:r w:rsidRPr="00101B75">
        <w:rPr>
          <w:rFonts w:ascii="Arial" w:hAnsi="Arial" w:cs="Arial"/>
          <w:iCs/>
          <w:sz w:val="20"/>
          <w:szCs w:val="20"/>
        </w:rPr>
        <w:t>. (</w:t>
      </w:r>
      <w:ins w:id="2" w:author="MNB" w:date="2024-12-04T12:05:00Z">
        <w:r w:rsidR="00C40EB7">
          <w:rPr>
            <w:rFonts w:ascii="Arial" w:hAnsi="Arial" w:cs="Arial"/>
            <w:iCs/>
            <w:sz w:val="20"/>
            <w:szCs w:val="20"/>
          </w:rPr>
          <w:t>XII. 3.</w:t>
        </w:r>
      </w:ins>
      <w:del w:id="3" w:author="MNB" w:date="2024-12-04T12:05:00Z">
        <w:r w:rsidR="005E3512" w:rsidDel="00C40EB7">
          <w:rPr>
            <w:rFonts w:ascii="Arial" w:hAnsi="Arial" w:cs="Arial"/>
            <w:iCs/>
            <w:sz w:val="20"/>
            <w:szCs w:val="20"/>
          </w:rPr>
          <w:delText>… …</w:delText>
        </w:r>
      </w:del>
      <w:r w:rsidR="00776B40">
        <w:rPr>
          <w:rFonts w:ascii="Arial" w:hAnsi="Arial" w:cs="Arial"/>
          <w:iCs/>
          <w:sz w:val="20"/>
          <w:szCs w:val="20"/>
        </w:rPr>
        <w:t>)</w:t>
      </w:r>
      <w:r w:rsidRPr="00101B75">
        <w:rPr>
          <w:rFonts w:ascii="Arial" w:hAnsi="Arial" w:cs="Arial"/>
          <w:iCs/>
          <w:sz w:val="20"/>
          <w:szCs w:val="20"/>
        </w:rPr>
        <w:t xml:space="preserve"> MNB rendelethez</w:t>
      </w:r>
    </w:p>
    <w:p w14:paraId="4BBAA8F2" w14:textId="77777777" w:rsidR="00FE6B4B" w:rsidRPr="00AF1F24" w:rsidRDefault="00FE6B4B" w:rsidP="00FE6B4B">
      <w:pPr>
        <w:autoSpaceDE w:val="0"/>
        <w:autoSpaceDN w:val="0"/>
        <w:adjustRightInd w:val="0"/>
        <w:rPr>
          <w:rFonts w:ascii="Arial" w:hAnsi="Arial" w:cs="Arial"/>
          <w:iCs/>
          <w:sz w:val="20"/>
          <w:szCs w:val="20"/>
        </w:rPr>
      </w:pPr>
    </w:p>
    <w:p w14:paraId="52F02CA5" w14:textId="77777777" w:rsidR="00FE6B4B" w:rsidRPr="00ED3820" w:rsidRDefault="00FE6B4B" w:rsidP="00FE6B4B">
      <w:pPr>
        <w:autoSpaceDE w:val="0"/>
        <w:autoSpaceDN w:val="0"/>
        <w:adjustRightInd w:val="0"/>
        <w:jc w:val="both"/>
        <w:rPr>
          <w:rFonts w:ascii="Arial" w:hAnsi="Arial" w:cs="Arial"/>
          <w:b/>
          <w:bCs/>
          <w:sz w:val="20"/>
          <w:szCs w:val="20"/>
        </w:rPr>
      </w:pPr>
    </w:p>
    <w:p w14:paraId="62EDA2E3" w14:textId="6D7C5CF6" w:rsidR="00FE6B4B" w:rsidRPr="00ED3820" w:rsidRDefault="00FE6B4B" w:rsidP="00FE6B4B">
      <w:pPr>
        <w:autoSpaceDE w:val="0"/>
        <w:autoSpaceDN w:val="0"/>
        <w:adjustRightInd w:val="0"/>
        <w:jc w:val="center"/>
        <w:rPr>
          <w:rFonts w:ascii="Arial" w:hAnsi="Arial" w:cs="Arial"/>
          <w:b/>
          <w:bCs/>
          <w:sz w:val="20"/>
          <w:szCs w:val="20"/>
        </w:rPr>
      </w:pPr>
      <w:r w:rsidRPr="00ED3820">
        <w:rPr>
          <w:rFonts w:ascii="Arial" w:hAnsi="Arial" w:cs="Arial"/>
          <w:b/>
          <w:bCs/>
          <w:sz w:val="20"/>
          <w:szCs w:val="20"/>
        </w:rPr>
        <w:t>Kitöltési előírások a hitelintézetek finanszírozási tervre vonatkozó felügyeleti jelentéséhez</w:t>
      </w:r>
    </w:p>
    <w:p w14:paraId="518EBC59" w14:textId="77777777" w:rsidR="00FE6B4B" w:rsidRPr="00ED3820" w:rsidRDefault="00FE6B4B" w:rsidP="00FE6B4B">
      <w:pPr>
        <w:autoSpaceDE w:val="0"/>
        <w:autoSpaceDN w:val="0"/>
        <w:adjustRightInd w:val="0"/>
        <w:jc w:val="center"/>
        <w:rPr>
          <w:rFonts w:ascii="Arial" w:hAnsi="Arial" w:cs="Arial"/>
          <w:b/>
          <w:bCs/>
          <w:sz w:val="20"/>
          <w:szCs w:val="20"/>
        </w:rPr>
      </w:pPr>
    </w:p>
    <w:p w14:paraId="6BDC9306" w14:textId="77777777" w:rsidR="00FE6B4B" w:rsidRPr="00ED3820" w:rsidRDefault="00FE6B4B" w:rsidP="00FE6B4B">
      <w:pPr>
        <w:autoSpaceDE w:val="0"/>
        <w:autoSpaceDN w:val="0"/>
        <w:adjustRightInd w:val="0"/>
        <w:jc w:val="center"/>
        <w:rPr>
          <w:rFonts w:ascii="Arial" w:hAnsi="Arial" w:cs="Arial"/>
          <w:b/>
          <w:bCs/>
          <w:sz w:val="20"/>
          <w:szCs w:val="20"/>
        </w:rPr>
      </w:pPr>
    </w:p>
    <w:p w14:paraId="08012E37" w14:textId="77777777" w:rsidR="00FE6B4B" w:rsidRPr="00ED3820" w:rsidRDefault="00FE6B4B" w:rsidP="00FE6B4B">
      <w:pPr>
        <w:pStyle w:val="Cmsor2"/>
        <w:spacing w:after="0"/>
        <w:ind w:firstLine="0"/>
        <w:jc w:val="center"/>
        <w:rPr>
          <w:rFonts w:ascii="Arial" w:hAnsi="Arial" w:cs="Arial"/>
          <w:b/>
          <w:bCs/>
          <w:i w:val="0"/>
          <w:iCs/>
          <w:color w:val="auto"/>
          <w:lang w:eastAsia="x-none"/>
        </w:rPr>
      </w:pPr>
      <w:r w:rsidRPr="00ED3820">
        <w:rPr>
          <w:rFonts w:ascii="Arial" w:hAnsi="Arial" w:cs="Arial"/>
          <w:b/>
          <w:bCs/>
          <w:i w:val="0"/>
          <w:iCs/>
          <w:color w:val="auto"/>
          <w:lang w:eastAsia="x-none"/>
        </w:rPr>
        <w:t>I.</w:t>
      </w:r>
    </w:p>
    <w:p w14:paraId="3056B026" w14:textId="77777777" w:rsidR="00FE6B4B" w:rsidRPr="00ED3820" w:rsidRDefault="00FE6B4B" w:rsidP="00FE6B4B">
      <w:pPr>
        <w:pStyle w:val="Cmsor2"/>
        <w:spacing w:after="0"/>
        <w:ind w:firstLine="0"/>
        <w:jc w:val="center"/>
        <w:rPr>
          <w:rFonts w:ascii="Arial" w:hAnsi="Arial" w:cs="Arial"/>
          <w:b/>
          <w:bCs/>
          <w:i w:val="0"/>
          <w:iCs/>
          <w:color w:val="auto"/>
          <w:lang w:eastAsia="x-none"/>
        </w:rPr>
      </w:pPr>
      <w:r w:rsidRPr="00ED3820">
        <w:rPr>
          <w:rFonts w:ascii="Arial" w:hAnsi="Arial" w:cs="Arial"/>
          <w:b/>
          <w:bCs/>
          <w:i w:val="0"/>
          <w:iCs/>
          <w:color w:val="auto"/>
          <w:lang w:eastAsia="x-none"/>
        </w:rPr>
        <w:t xml:space="preserve">A felügyeleti jelentésre vonatkozó általános szabályok </w:t>
      </w:r>
    </w:p>
    <w:p w14:paraId="08B0762D" w14:textId="77777777" w:rsidR="00FE6B4B" w:rsidRPr="00ED3820" w:rsidRDefault="00FE6B4B" w:rsidP="00FE6B4B">
      <w:pPr>
        <w:autoSpaceDE w:val="0"/>
        <w:autoSpaceDN w:val="0"/>
        <w:adjustRightInd w:val="0"/>
        <w:jc w:val="center"/>
        <w:rPr>
          <w:rFonts w:ascii="Arial" w:hAnsi="Arial" w:cs="Arial"/>
          <w:b/>
          <w:bCs/>
          <w:sz w:val="20"/>
          <w:szCs w:val="20"/>
        </w:rPr>
      </w:pPr>
    </w:p>
    <w:p w14:paraId="74B2640D" w14:textId="77777777" w:rsidR="00FE6B4B" w:rsidRPr="00ED3820" w:rsidRDefault="00FE6B4B" w:rsidP="00FE6B4B">
      <w:pPr>
        <w:autoSpaceDE w:val="0"/>
        <w:autoSpaceDN w:val="0"/>
        <w:adjustRightInd w:val="0"/>
        <w:jc w:val="both"/>
        <w:rPr>
          <w:rFonts w:ascii="Arial" w:hAnsi="Arial" w:cs="Arial"/>
          <w:b/>
          <w:bCs/>
          <w:sz w:val="20"/>
          <w:szCs w:val="20"/>
        </w:rPr>
      </w:pPr>
    </w:p>
    <w:p w14:paraId="7AB54067" w14:textId="77777777" w:rsidR="00FE6B4B" w:rsidRPr="00ED3820" w:rsidRDefault="00FE6B4B" w:rsidP="00FE6B4B">
      <w:pPr>
        <w:pStyle w:val="Cmsor4"/>
        <w:keepLines w:val="0"/>
        <w:spacing w:before="0"/>
        <w:rPr>
          <w:rFonts w:ascii="Arial" w:hAnsi="Arial" w:cs="Arial"/>
          <w:i w:val="0"/>
          <w:iCs w:val="0"/>
          <w:color w:val="auto"/>
          <w:sz w:val="20"/>
          <w:szCs w:val="20"/>
        </w:rPr>
      </w:pPr>
      <w:r w:rsidRPr="00ED3820">
        <w:rPr>
          <w:rFonts w:ascii="Arial" w:hAnsi="Arial" w:cs="Arial"/>
          <w:i w:val="0"/>
          <w:iCs w:val="0"/>
          <w:color w:val="auto"/>
          <w:sz w:val="20"/>
          <w:szCs w:val="20"/>
        </w:rPr>
        <w:t>1. Kapcsolódó jogszabályok, fogalmak, rövidítések</w:t>
      </w:r>
    </w:p>
    <w:p w14:paraId="1674AF06" w14:textId="77777777" w:rsidR="00FE6B4B" w:rsidRPr="00ED3820" w:rsidRDefault="00FE6B4B" w:rsidP="00FE6B4B">
      <w:pPr>
        <w:pStyle w:val="Nincstrkz"/>
        <w:rPr>
          <w:rFonts w:ascii="Arial" w:hAnsi="Arial" w:cs="Arial"/>
          <w:sz w:val="20"/>
          <w:szCs w:val="20"/>
        </w:rPr>
      </w:pPr>
      <w:r w:rsidRPr="00ED3820">
        <w:rPr>
          <w:rFonts w:ascii="Arial" w:hAnsi="Arial" w:cs="Arial"/>
          <w:sz w:val="20"/>
          <w:szCs w:val="20"/>
        </w:rPr>
        <w:t>A felügyeleti jelentés teljesítése során alkalmazandó jogszabályok körét az 1. melléklet 1. pontja, a táblákban és a kitöltési előírásokban használt fogalmakat az 1. melléklet 2. pontja, a rövidítéseket az 1. melléklet 3. pontja tartalmazza.</w:t>
      </w:r>
    </w:p>
    <w:p w14:paraId="156B398C" w14:textId="77777777" w:rsidR="00FE6B4B" w:rsidRPr="00ED3820" w:rsidRDefault="00FE6B4B" w:rsidP="00FE6B4B">
      <w:pPr>
        <w:pStyle w:val="Nincstrkz"/>
        <w:rPr>
          <w:rFonts w:ascii="Arial" w:hAnsi="Arial" w:cs="Arial"/>
          <w:sz w:val="20"/>
          <w:szCs w:val="20"/>
        </w:rPr>
      </w:pPr>
    </w:p>
    <w:p w14:paraId="4D8B6475" w14:textId="77777777" w:rsidR="00FE6B4B" w:rsidRPr="00ED3820" w:rsidRDefault="00FE6B4B" w:rsidP="00FE6B4B">
      <w:pPr>
        <w:pStyle w:val="Cmsor4"/>
        <w:keepLines w:val="0"/>
        <w:spacing w:before="0"/>
        <w:rPr>
          <w:rFonts w:ascii="Arial" w:hAnsi="Arial" w:cs="Arial"/>
          <w:i w:val="0"/>
          <w:iCs w:val="0"/>
          <w:color w:val="auto"/>
          <w:sz w:val="20"/>
          <w:szCs w:val="20"/>
        </w:rPr>
      </w:pPr>
      <w:r w:rsidRPr="00ED3820">
        <w:rPr>
          <w:rFonts w:ascii="Arial" w:hAnsi="Arial" w:cs="Arial"/>
          <w:i w:val="0"/>
          <w:iCs w:val="0"/>
          <w:color w:val="auto"/>
          <w:sz w:val="20"/>
          <w:szCs w:val="20"/>
        </w:rPr>
        <w:t>2. A felügyeleti jelentés formai követelményei</w:t>
      </w:r>
    </w:p>
    <w:p w14:paraId="7799C9F9" w14:textId="77777777" w:rsidR="00FE6B4B" w:rsidRPr="00ED3820" w:rsidRDefault="00FE6B4B" w:rsidP="00FE6B4B">
      <w:pPr>
        <w:spacing w:after="120"/>
        <w:jc w:val="both"/>
        <w:rPr>
          <w:rFonts w:ascii="Arial" w:hAnsi="Arial" w:cs="Arial"/>
          <w:snapToGrid w:val="0"/>
          <w:sz w:val="20"/>
          <w:szCs w:val="20"/>
        </w:rPr>
      </w:pPr>
      <w:r w:rsidRPr="00ED3820">
        <w:rPr>
          <w:rFonts w:ascii="Arial" w:hAnsi="Arial" w:cs="Arial"/>
          <w:snapToGrid w:val="0"/>
          <w:sz w:val="20"/>
          <w:szCs w:val="20"/>
        </w:rPr>
        <w:t>A felügyeleti jelentés formai követelményeit az 1. melléklet 4. pontja határozza meg.</w:t>
      </w:r>
    </w:p>
    <w:p w14:paraId="61E63DC1" w14:textId="77777777" w:rsidR="00FE6B4B" w:rsidRPr="00ED3820" w:rsidRDefault="00FE6B4B" w:rsidP="00FE6B4B">
      <w:pPr>
        <w:pStyle w:val="Cmsor4"/>
        <w:keepLines w:val="0"/>
        <w:spacing w:before="0"/>
        <w:rPr>
          <w:rFonts w:ascii="Arial" w:hAnsi="Arial" w:cs="Arial"/>
          <w:i w:val="0"/>
          <w:iCs w:val="0"/>
          <w:color w:val="auto"/>
          <w:sz w:val="20"/>
          <w:szCs w:val="20"/>
        </w:rPr>
      </w:pPr>
      <w:r w:rsidRPr="00ED3820">
        <w:rPr>
          <w:rFonts w:ascii="Arial" w:hAnsi="Arial" w:cs="Arial"/>
          <w:i w:val="0"/>
          <w:iCs w:val="0"/>
          <w:color w:val="auto"/>
          <w:sz w:val="20"/>
          <w:szCs w:val="20"/>
        </w:rPr>
        <w:t xml:space="preserve">3. A felügyeleti jelentés tartalmi követelményei </w:t>
      </w:r>
    </w:p>
    <w:p w14:paraId="58DC0F52" w14:textId="77777777" w:rsidR="00FE6B4B" w:rsidRPr="00ED3820" w:rsidRDefault="00FE6B4B" w:rsidP="00FE6B4B">
      <w:pPr>
        <w:autoSpaceDE w:val="0"/>
        <w:autoSpaceDN w:val="0"/>
        <w:adjustRightInd w:val="0"/>
        <w:spacing w:before="120"/>
        <w:jc w:val="both"/>
        <w:rPr>
          <w:rFonts w:ascii="Arial" w:hAnsi="Arial" w:cs="Arial"/>
          <w:sz w:val="20"/>
          <w:szCs w:val="20"/>
          <w:lang w:eastAsia="en-US"/>
        </w:rPr>
      </w:pPr>
      <w:r w:rsidRPr="00ED3820">
        <w:rPr>
          <w:rFonts w:ascii="Arial" w:hAnsi="Arial" w:cs="Arial"/>
          <w:sz w:val="20"/>
          <w:szCs w:val="20"/>
        </w:rPr>
        <w:t>3.1.</w:t>
      </w:r>
      <w:r w:rsidRPr="00ED3820">
        <w:rPr>
          <w:rFonts w:ascii="Arial" w:hAnsi="Arial" w:cs="Arial"/>
          <w:sz w:val="20"/>
          <w:szCs w:val="20"/>
          <w:lang w:eastAsia="en-US"/>
        </w:rPr>
        <w:t xml:space="preserve"> Az MNB a kijelölő levélben értesíti a hitelintézetet arról, hogy a jelentést milyen konszolidációs körre vonatkozóan kell összeállítania (pl. egyedi szint, prudenciális konszolidációs kör, likviditási alcsoport).</w:t>
      </w:r>
    </w:p>
    <w:p w14:paraId="0D44A072" w14:textId="77777777" w:rsidR="00FE6B4B" w:rsidRPr="00ED3820" w:rsidRDefault="00FE6B4B" w:rsidP="00FE6B4B">
      <w:pPr>
        <w:autoSpaceDE w:val="0"/>
        <w:autoSpaceDN w:val="0"/>
        <w:adjustRightInd w:val="0"/>
        <w:spacing w:before="120"/>
        <w:jc w:val="both"/>
        <w:rPr>
          <w:rFonts w:ascii="Arial" w:hAnsi="Arial" w:cs="Arial"/>
          <w:sz w:val="20"/>
          <w:szCs w:val="20"/>
        </w:rPr>
      </w:pPr>
      <w:r w:rsidRPr="00ED3820">
        <w:rPr>
          <w:rFonts w:ascii="Arial" w:hAnsi="Arial" w:cs="Arial"/>
          <w:sz w:val="20"/>
          <w:szCs w:val="20"/>
        </w:rPr>
        <w:t>3.</w:t>
      </w:r>
      <w:r w:rsidR="00F543A0" w:rsidRPr="00ED3820">
        <w:rPr>
          <w:rFonts w:ascii="Arial" w:hAnsi="Arial" w:cs="Arial"/>
          <w:sz w:val="20"/>
          <w:szCs w:val="20"/>
        </w:rPr>
        <w:t>2</w:t>
      </w:r>
      <w:r w:rsidRPr="00ED3820">
        <w:rPr>
          <w:rFonts w:ascii="Arial" w:hAnsi="Arial" w:cs="Arial"/>
          <w:sz w:val="20"/>
          <w:szCs w:val="20"/>
        </w:rPr>
        <w:t>. A finanszírozási tervet a hitelintézetnek a normál makrogazdasági helyzet és normál üzletmenet feltételezése mellett tett előrejelzések szerint kell elkészítenie. Az MNB nem ad meg makrogazdasági szcenáriót, a hitelintézetnek a saját becslései közül a legvalószínűbbet kell alkalmaznia.</w:t>
      </w:r>
    </w:p>
    <w:p w14:paraId="1CCBFF39" w14:textId="77777777" w:rsidR="00FE6B4B" w:rsidRPr="00ED3820" w:rsidRDefault="00FE6B4B" w:rsidP="00FE6B4B">
      <w:pPr>
        <w:autoSpaceDE w:val="0"/>
        <w:autoSpaceDN w:val="0"/>
        <w:adjustRightInd w:val="0"/>
        <w:spacing w:before="120"/>
        <w:jc w:val="both"/>
        <w:rPr>
          <w:rFonts w:ascii="Arial" w:hAnsi="Arial" w:cs="Arial"/>
          <w:sz w:val="20"/>
          <w:szCs w:val="20"/>
        </w:rPr>
      </w:pPr>
      <w:r w:rsidRPr="00ED3820">
        <w:rPr>
          <w:rFonts w:ascii="Arial" w:hAnsi="Arial" w:cs="Arial"/>
          <w:sz w:val="20"/>
          <w:szCs w:val="20"/>
        </w:rPr>
        <w:t>3.</w:t>
      </w:r>
      <w:r w:rsidR="00F543A0" w:rsidRPr="00ED3820">
        <w:rPr>
          <w:rFonts w:ascii="Arial" w:hAnsi="Arial" w:cs="Arial"/>
          <w:sz w:val="20"/>
          <w:szCs w:val="20"/>
        </w:rPr>
        <w:t>3</w:t>
      </w:r>
      <w:r w:rsidRPr="00ED3820">
        <w:rPr>
          <w:rFonts w:ascii="Arial" w:hAnsi="Arial" w:cs="Arial"/>
          <w:sz w:val="20"/>
          <w:szCs w:val="20"/>
        </w:rPr>
        <w:t xml:space="preserve">. A </w:t>
      </w:r>
      <w:r w:rsidR="00416F43" w:rsidRPr="00ED3820">
        <w:rPr>
          <w:rFonts w:ascii="Arial" w:hAnsi="Arial" w:cs="Arial"/>
          <w:sz w:val="20"/>
          <w:szCs w:val="20"/>
        </w:rPr>
        <w:t>forinttól</w:t>
      </w:r>
      <w:r w:rsidRPr="00ED3820">
        <w:rPr>
          <w:rFonts w:ascii="Arial" w:hAnsi="Arial" w:cs="Arial"/>
          <w:sz w:val="20"/>
          <w:szCs w:val="20"/>
        </w:rPr>
        <w:t xml:space="preserve"> eltérő pénznemben fennálló követelések, illetve kötelezettségek terv adatainak </w:t>
      </w:r>
      <w:r w:rsidR="00416F43" w:rsidRPr="00ED3820">
        <w:rPr>
          <w:rFonts w:ascii="Arial" w:hAnsi="Arial" w:cs="Arial"/>
          <w:sz w:val="20"/>
          <w:szCs w:val="20"/>
        </w:rPr>
        <w:t xml:space="preserve">forintra </w:t>
      </w:r>
      <w:r w:rsidRPr="00ED3820">
        <w:rPr>
          <w:rFonts w:ascii="Arial" w:hAnsi="Arial" w:cs="Arial"/>
          <w:sz w:val="20"/>
          <w:szCs w:val="20"/>
        </w:rPr>
        <w:t>történő átszámítását az MNB által közzétett, a jelentés vonatkozási időpontjának napján érvényes hivatalos devizaárfolyamon kell elvégezni.</w:t>
      </w:r>
    </w:p>
    <w:p w14:paraId="590ADDF6" w14:textId="77777777" w:rsidR="00FE6B4B" w:rsidRPr="00ED3820" w:rsidRDefault="00FE6B4B" w:rsidP="00FE6B4B">
      <w:pPr>
        <w:autoSpaceDE w:val="0"/>
        <w:autoSpaceDN w:val="0"/>
        <w:adjustRightInd w:val="0"/>
        <w:spacing w:before="120"/>
        <w:jc w:val="both"/>
        <w:rPr>
          <w:rFonts w:ascii="Arial" w:hAnsi="Arial" w:cs="Arial"/>
          <w:sz w:val="20"/>
          <w:szCs w:val="20"/>
        </w:rPr>
      </w:pPr>
      <w:r w:rsidRPr="00ED3820">
        <w:rPr>
          <w:rFonts w:ascii="Arial" w:hAnsi="Arial" w:cs="Arial"/>
          <w:sz w:val="20"/>
          <w:szCs w:val="20"/>
        </w:rPr>
        <w:t>3.</w:t>
      </w:r>
      <w:r w:rsidR="00F543A0" w:rsidRPr="00ED3820">
        <w:rPr>
          <w:rFonts w:ascii="Arial" w:hAnsi="Arial" w:cs="Arial"/>
          <w:sz w:val="20"/>
          <w:szCs w:val="20"/>
        </w:rPr>
        <w:t>4</w:t>
      </w:r>
      <w:r w:rsidRPr="00ED3820">
        <w:rPr>
          <w:rFonts w:ascii="Arial" w:hAnsi="Arial" w:cs="Arial"/>
          <w:sz w:val="20"/>
          <w:szCs w:val="20"/>
        </w:rPr>
        <w:t>. A felügyeleti jelentés további tartalmi követelményeit az 1. melléklet 5. pontja határozza meg.</w:t>
      </w:r>
    </w:p>
    <w:p w14:paraId="10F1FF4F" w14:textId="77777777" w:rsidR="00FE6B4B" w:rsidRPr="00ED3820" w:rsidRDefault="00FE6B4B" w:rsidP="00FE6B4B">
      <w:pPr>
        <w:autoSpaceDE w:val="0"/>
        <w:autoSpaceDN w:val="0"/>
        <w:adjustRightInd w:val="0"/>
        <w:jc w:val="both"/>
        <w:rPr>
          <w:rFonts w:ascii="Arial" w:hAnsi="Arial" w:cs="Arial"/>
          <w:sz w:val="20"/>
          <w:szCs w:val="20"/>
        </w:rPr>
      </w:pPr>
    </w:p>
    <w:p w14:paraId="2EDC447B" w14:textId="77777777" w:rsidR="00FE6B4B" w:rsidRPr="00ED3820" w:rsidRDefault="00FE6B4B" w:rsidP="00FE6B4B">
      <w:pPr>
        <w:autoSpaceDE w:val="0"/>
        <w:autoSpaceDN w:val="0"/>
        <w:adjustRightInd w:val="0"/>
        <w:jc w:val="both"/>
        <w:rPr>
          <w:rFonts w:ascii="Arial" w:hAnsi="Arial" w:cs="Arial"/>
          <w:sz w:val="20"/>
          <w:szCs w:val="20"/>
        </w:rPr>
      </w:pPr>
    </w:p>
    <w:p w14:paraId="533BE0CC" w14:textId="77777777" w:rsidR="00FE6B4B" w:rsidRPr="00ED3820" w:rsidRDefault="00FE6B4B" w:rsidP="00FE6B4B">
      <w:pPr>
        <w:pStyle w:val="Cmsor2"/>
        <w:spacing w:after="0"/>
        <w:ind w:firstLine="0"/>
        <w:jc w:val="center"/>
        <w:rPr>
          <w:rFonts w:ascii="Arial" w:hAnsi="Arial" w:cs="Arial"/>
          <w:b/>
          <w:bCs/>
          <w:i w:val="0"/>
          <w:iCs/>
          <w:color w:val="auto"/>
          <w:lang w:eastAsia="x-none"/>
        </w:rPr>
      </w:pPr>
      <w:r w:rsidRPr="00ED3820">
        <w:rPr>
          <w:rFonts w:ascii="Arial" w:hAnsi="Arial" w:cs="Arial"/>
          <w:b/>
          <w:bCs/>
          <w:i w:val="0"/>
          <w:iCs/>
          <w:color w:val="auto"/>
          <w:lang w:eastAsia="x-none"/>
        </w:rPr>
        <w:t>II.</w:t>
      </w:r>
    </w:p>
    <w:p w14:paraId="3B2BE234" w14:textId="77777777" w:rsidR="00FE6B4B" w:rsidRPr="00ED3820" w:rsidRDefault="00E00530" w:rsidP="00FE6B4B">
      <w:pPr>
        <w:pStyle w:val="Cmsor2"/>
        <w:spacing w:after="0"/>
        <w:ind w:firstLine="0"/>
        <w:jc w:val="center"/>
        <w:rPr>
          <w:rFonts w:ascii="Arial" w:hAnsi="Arial" w:cs="Arial"/>
          <w:b/>
          <w:bCs/>
          <w:i w:val="0"/>
          <w:iCs/>
          <w:color w:val="auto"/>
          <w:lang w:eastAsia="x-none"/>
        </w:rPr>
      </w:pPr>
      <w:r w:rsidRPr="00ED3820">
        <w:rPr>
          <w:rFonts w:ascii="Arial" w:hAnsi="Arial" w:cs="Arial"/>
          <w:b/>
          <w:bCs/>
          <w:i w:val="0"/>
          <w:iCs/>
          <w:color w:val="auto"/>
          <w:lang w:val="hu-HU" w:eastAsia="x-none"/>
        </w:rPr>
        <w:t xml:space="preserve">A felügyeleti jelentésre vonatkozó </w:t>
      </w:r>
      <w:r w:rsidR="00BC029C" w:rsidRPr="00ED3820">
        <w:rPr>
          <w:rFonts w:ascii="Arial" w:hAnsi="Arial" w:cs="Arial"/>
          <w:b/>
          <w:bCs/>
          <w:i w:val="0"/>
          <w:iCs/>
          <w:color w:val="auto"/>
          <w:lang w:val="hu-HU" w:eastAsia="x-none"/>
        </w:rPr>
        <w:t>r</w:t>
      </w:r>
      <w:r w:rsidR="00FE6B4B" w:rsidRPr="00ED3820">
        <w:rPr>
          <w:rFonts w:ascii="Arial" w:hAnsi="Arial" w:cs="Arial"/>
          <w:b/>
          <w:bCs/>
          <w:i w:val="0"/>
          <w:iCs/>
          <w:color w:val="auto"/>
          <w:lang w:eastAsia="x-none"/>
        </w:rPr>
        <w:t>észletes előírások</w:t>
      </w:r>
    </w:p>
    <w:p w14:paraId="1D91B48B" w14:textId="77777777" w:rsidR="00FE6B4B" w:rsidRPr="00ED3820" w:rsidRDefault="00FE6B4B" w:rsidP="00FE6B4B">
      <w:pPr>
        <w:autoSpaceDE w:val="0"/>
        <w:autoSpaceDN w:val="0"/>
        <w:adjustRightInd w:val="0"/>
        <w:jc w:val="both"/>
        <w:rPr>
          <w:rFonts w:ascii="Arial" w:hAnsi="Arial" w:cs="Arial"/>
          <w:b/>
          <w:sz w:val="20"/>
          <w:szCs w:val="20"/>
        </w:rPr>
      </w:pPr>
    </w:p>
    <w:p w14:paraId="79C7EF31" w14:textId="77777777" w:rsidR="00FE6B4B" w:rsidRPr="00ED3820" w:rsidRDefault="00FE6B4B" w:rsidP="00FE6B4B">
      <w:pPr>
        <w:rPr>
          <w:rFonts w:ascii="Arial" w:hAnsi="Arial" w:cs="Arial"/>
          <w:sz w:val="20"/>
          <w:szCs w:val="20"/>
        </w:rPr>
      </w:pPr>
    </w:p>
    <w:p w14:paraId="06301B92" w14:textId="77777777" w:rsidR="00FE6B4B" w:rsidRPr="00ED3820" w:rsidRDefault="0062780E" w:rsidP="00FE6B4B">
      <w:pPr>
        <w:rPr>
          <w:rFonts w:ascii="Arial" w:hAnsi="Arial" w:cs="Arial"/>
          <w:b/>
          <w:sz w:val="20"/>
          <w:szCs w:val="20"/>
        </w:rPr>
      </w:pPr>
      <w:r w:rsidRPr="00ED3820">
        <w:rPr>
          <w:rFonts w:ascii="Arial" w:hAnsi="Arial" w:cs="Arial"/>
          <w:b/>
          <w:sz w:val="20"/>
          <w:szCs w:val="20"/>
        </w:rPr>
        <w:t xml:space="preserve">1. </w:t>
      </w:r>
      <w:r w:rsidR="00FE6B4B" w:rsidRPr="00ED3820">
        <w:rPr>
          <w:rFonts w:ascii="Arial" w:hAnsi="Arial" w:cs="Arial"/>
          <w:b/>
          <w:sz w:val="20"/>
          <w:szCs w:val="20"/>
        </w:rPr>
        <w:t>P</w:t>
      </w:r>
      <w:r w:rsidR="00857983" w:rsidRPr="00ED3820">
        <w:rPr>
          <w:rFonts w:ascii="Arial" w:hAnsi="Arial" w:cs="Arial"/>
          <w:b/>
          <w:sz w:val="20"/>
          <w:szCs w:val="20"/>
        </w:rPr>
        <w:t>_</w:t>
      </w:r>
      <w:r w:rsidR="00FE6B4B" w:rsidRPr="00ED3820">
        <w:rPr>
          <w:rFonts w:ascii="Arial" w:hAnsi="Arial" w:cs="Arial"/>
          <w:b/>
          <w:sz w:val="20"/>
          <w:szCs w:val="20"/>
        </w:rPr>
        <w:t xml:space="preserve">01.01 Finanszírozási terv </w:t>
      </w:r>
      <w:r w:rsidR="008E3A5A" w:rsidRPr="00ED3820">
        <w:rPr>
          <w:rFonts w:ascii="Arial" w:hAnsi="Arial" w:cs="Arial"/>
          <w:b/>
          <w:caps/>
          <w:sz w:val="20"/>
          <w:szCs w:val="20"/>
          <w:lang w:val="en-US" w:eastAsia="en-GB"/>
        </w:rPr>
        <w:t>–</w:t>
      </w:r>
      <w:r w:rsidR="00FE6B4B" w:rsidRPr="00ED3820">
        <w:rPr>
          <w:rFonts w:ascii="Arial" w:hAnsi="Arial" w:cs="Arial"/>
          <w:b/>
          <w:sz w:val="20"/>
          <w:szCs w:val="20"/>
        </w:rPr>
        <w:t xml:space="preserve"> Eszközök</w:t>
      </w:r>
    </w:p>
    <w:p w14:paraId="7E9E71BF" w14:textId="77777777" w:rsidR="00FE6B4B" w:rsidRPr="00ED3820" w:rsidRDefault="00FE6B4B" w:rsidP="00FE6B4B">
      <w:pPr>
        <w:rPr>
          <w:rFonts w:ascii="Arial" w:hAnsi="Arial" w:cs="Arial"/>
          <w:b/>
          <w:sz w:val="20"/>
          <w:szCs w:val="20"/>
        </w:rPr>
      </w:pPr>
    </w:p>
    <w:p w14:paraId="1F7EB80E" w14:textId="3C563544" w:rsidR="00FE6B4B" w:rsidRPr="00ED3820" w:rsidRDefault="00FE6B4B" w:rsidP="00FE6B4B">
      <w:pPr>
        <w:rPr>
          <w:rFonts w:ascii="Arial" w:hAnsi="Arial" w:cs="Arial"/>
          <w:b/>
          <w:sz w:val="20"/>
          <w:szCs w:val="20"/>
        </w:rPr>
      </w:pPr>
      <w:r w:rsidRPr="00ED3820">
        <w:rPr>
          <w:rFonts w:ascii="Arial" w:hAnsi="Arial" w:cs="Arial"/>
          <w:b/>
          <w:sz w:val="20"/>
          <w:szCs w:val="20"/>
        </w:rPr>
        <w:t>A tábla sorai</w:t>
      </w:r>
    </w:p>
    <w:p w14:paraId="5B67BABD" w14:textId="77777777" w:rsidR="00FE6B4B" w:rsidRPr="00ED3820" w:rsidRDefault="00FE6B4B" w:rsidP="00FE6B4B">
      <w:pPr>
        <w:rPr>
          <w:rFonts w:ascii="Arial" w:hAnsi="Arial" w:cs="Arial"/>
          <w:b/>
          <w:sz w:val="20"/>
          <w:szCs w:val="20"/>
        </w:rPr>
      </w:pPr>
    </w:p>
    <w:tbl>
      <w:tblPr>
        <w:tblW w:w="9351" w:type="dxa"/>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Layout w:type="fixed"/>
        <w:tblLook w:val="04A0" w:firstRow="1" w:lastRow="0" w:firstColumn="1" w:lastColumn="0" w:noHBand="0" w:noVBand="1"/>
      </w:tblPr>
      <w:tblGrid>
        <w:gridCol w:w="1101"/>
        <w:gridCol w:w="1215"/>
        <w:gridCol w:w="3349"/>
        <w:gridCol w:w="3686"/>
      </w:tblGrid>
      <w:tr w:rsidR="00FE6B4B" w:rsidRPr="00ED3820" w14:paraId="39466AA0" w14:textId="77777777" w:rsidTr="00D23413">
        <w:tc>
          <w:tcPr>
            <w:tcW w:w="1101" w:type="dxa"/>
            <w:shd w:val="clear" w:color="auto" w:fill="auto"/>
            <w:vAlign w:val="center"/>
          </w:tcPr>
          <w:p w14:paraId="3573D3B4" w14:textId="77777777" w:rsidR="00FE6B4B" w:rsidRPr="00ED3820" w:rsidRDefault="00FE6B4B" w:rsidP="00D16669">
            <w:pPr>
              <w:contextualSpacing/>
              <w:jc w:val="center"/>
              <w:rPr>
                <w:rFonts w:ascii="Arial" w:hAnsi="Arial" w:cs="Arial"/>
                <w:b/>
                <w:sz w:val="20"/>
                <w:szCs w:val="20"/>
              </w:rPr>
            </w:pPr>
            <w:r w:rsidRPr="00ED3820">
              <w:rPr>
                <w:rFonts w:ascii="Arial" w:hAnsi="Arial" w:cs="Arial"/>
                <w:b/>
                <w:sz w:val="20"/>
                <w:szCs w:val="20"/>
              </w:rPr>
              <w:t>Sorkód</w:t>
            </w:r>
            <w:r w:rsidRPr="00ED3820">
              <w:rPr>
                <w:rStyle w:val="Lbjegyzet-hivatkozs"/>
                <w:rFonts w:ascii="Arial" w:hAnsi="Arial" w:cs="Arial"/>
                <w:b/>
                <w:sz w:val="20"/>
                <w:szCs w:val="20"/>
              </w:rPr>
              <w:footnoteReference w:id="1"/>
            </w:r>
          </w:p>
        </w:tc>
        <w:tc>
          <w:tcPr>
            <w:tcW w:w="1215" w:type="dxa"/>
            <w:vAlign w:val="center"/>
          </w:tcPr>
          <w:p w14:paraId="378D8193" w14:textId="77777777" w:rsidR="00FE6B4B" w:rsidRPr="00ED3820" w:rsidRDefault="00FE6B4B" w:rsidP="00D16669">
            <w:pPr>
              <w:contextualSpacing/>
              <w:jc w:val="center"/>
              <w:rPr>
                <w:rFonts w:ascii="Arial" w:hAnsi="Arial" w:cs="Arial"/>
                <w:b/>
                <w:sz w:val="20"/>
                <w:szCs w:val="20"/>
              </w:rPr>
            </w:pPr>
            <w:r w:rsidRPr="00ED3820">
              <w:rPr>
                <w:rFonts w:ascii="Arial" w:hAnsi="Arial" w:cs="Arial"/>
                <w:b/>
                <w:sz w:val="20"/>
                <w:szCs w:val="20"/>
              </w:rPr>
              <w:t>Hierarchia</w:t>
            </w:r>
          </w:p>
        </w:tc>
        <w:tc>
          <w:tcPr>
            <w:tcW w:w="3349" w:type="dxa"/>
            <w:shd w:val="clear" w:color="auto" w:fill="auto"/>
            <w:vAlign w:val="center"/>
          </w:tcPr>
          <w:p w14:paraId="4AB0AE6E" w14:textId="77777777" w:rsidR="00FE6B4B" w:rsidRPr="00ED3820" w:rsidRDefault="00FE6B4B" w:rsidP="00D16669">
            <w:pPr>
              <w:contextualSpacing/>
              <w:jc w:val="center"/>
              <w:rPr>
                <w:rFonts w:ascii="Arial" w:hAnsi="Arial" w:cs="Arial"/>
                <w:b/>
                <w:sz w:val="20"/>
                <w:szCs w:val="20"/>
              </w:rPr>
            </w:pPr>
            <w:r w:rsidRPr="00ED3820">
              <w:rPr>
                <w:rFonts w:ascii="Arial" w:hAnsi="Arial" w:cs="Arial"/>
                <w:b/>
                <w:sz w:val="20"/>
                <w:szCs w:val="20"/>
              </w:rPr>
              <w:t>Megnevezés</w:t>
            </w:r>
          </w:p>
        </w:tc>
        <w:tc>
          <w:tcPr>
            <w:tcW w:w="3686" w:type="dxa"/>
            <w:shd w:val="clear" w:color="auto" w:fill="auto"/>
            <w:vAlign w:val="center"/>
          </w:tcPr>
          <w:p w14:paraId="77209D7B" w14:textId="77777777" w:rsidR="00FE6B4B" w:rsidRPr="00ED3820" w:rsidRDefault="00FE6B4B" w:rsidP="00D16669">
            <w:pPr>
              <w:contextualSpacing/>
              <w:jc w:val="center"/>
              <w:rPr>
                <w:rFonts w:ascii="Arial" w:hAnsi="Arial" w:cs="Arial"/>
                <w:b/>
                <w:sz w:val="20"/>
                <w:szCs w:val="20"/>
              </w:rPr>
            </w:pPr>
            <w:r w:rsidRPr="00ED3820">
              <w:rPr>
                <w:rFonts w:ascii="Arial" w:hAnsi="Arial" w:cs="Arial"/>
                <w:b/>
                <w:sz w:val="20"/>
                <w:szCs w:val="20"/>
              </w:rPr>
              <w:t>Hivatkozások jogszabályokra és megjegyzések</w:t>
            </w:r>
          </w:p>
        </w:tc>
      </w:tr>
      <w:tr w:rsidR="00FE6B4B" w:rsidRPr="00ED3820" w14:paraId="417DF253" w14:textId="77777777" w:rsidTr="00D23413">
        <w:tc>
          <w:tcPr>
            <w:tcW w:w="1101" w:type="dxa"/>
            <w:shd w:val="clear" w:color="auto" w:fill="auto"/>
            <w:tcMar>
              <w:top w:w="85" w:type="dxa"/>
            </w:tcMar>
            <w:vAlign w:val="center"/>
          </w:tcPr>
          <w:p w14:paraId="5D75482D" w14:textId="77777777" w:rsidR="00FE6B4B" w:rsidRPr="00ED3820" w:rsidRDefault="00FE6B4B" w:rsidP="00D16669">
            <w:pPr>
              <w:contextualSpacing/>
              <w:rPr>
                <w:rFonts w:ascii="Arial" w:hAnsi="Arial" w:cs="Arial"/>
                <w:sz w:val="20"/>
                <w:szCs w:val="20"/>
              </w:rPr>
            </w:pPr>
            <w:r w:rsidRPr="00ED3820">
              <w:rPr>
                <w:rFonts w:ascii="Arial" w:hAnsi="Arial" w:cs="Arial"/>
                <w:sz w:val="20"/>
                <w:szCs w:val="20"/>
              </w:rPr>
              <w:t>010</w:t>
            </w:r>
          </w:p>
        </w:tc>
        <w:tc>
          <w:tcPr>
            <w:tcW w:w="1215" w:type="dxa"/>
            <w:vAlign w:val="center"/>
          </w:tcPr>
          <w:p w14:paraId="775ECE32" w14:textId="77777777" w:rsidR="00FE6B4B" w:rsidRPr="00CA25FB" w:rsidRDefault="00FE6B4B" w:rsidP="00D16669">
            <w:pPr>
              <w:contextualSpacing/>
              <w:rPr>
                <w:rFonts w:ascii="Arial" w:hAnsi="Arial" w:cs="Arial"/>
                <w:sz w:val="20"/>
                <w:szCs w:val="20"/>
              </w:rPr>
            </w:pPr>
            <w:r w:rsidRPr="00CA25FB">
              <w:rPr>
                <w:rFonts w:ascii="Arial" w:hAnsi="Arial" w:cs="Arial"/>
                <w:sz w:val="20"/>
                <w:szCs w:val="20"/>
              </w:rPr>
              <w:t>1.1.</w:t>
            </w:r>
          </w:p>
        </w:tc>
        <w:tc>
          <w:tcPr>
            <w:tcW w:w="3349" w:type="dxa"/>
            <w:shd w:val="clear" w:color="auto" w:fill="auto"/>
            <w:tcMar>
              <w:top w:w="85" w:type="dxa"/>
            </w:tcMar>
            <w:vAlign w:val="center"/>
          </w:tcPr>
          <w:p w14:paraId="0B194AEE" w14:textId="77777777" w:rsidR="00FE6B4B" w:rsidRPr="00ED2630" w:rsidRDefault="00FE6B4B" w:rsidP="00637D24">
            <w:pPr>
              <w:contextualSpacing/>
              <w:jc w:val="both"/>
              <w:rPr>
                <w:rFonts w:ascii="Arial" w:hAnsi="Arial" w:cs="Arial"/>
                <w:sz w:val="20"/>
                <w:szCs w:val="20"/>
              </w:rPr>
            </w:pPr>
            <w:r w:rsidRPr="00ED2630">
              <w:rPr>
                <w:rFonts w:ascii="Arial" w:hAnsi="Arial" w:cs="Arial"/>
                <w:sz w:val="20"/>
                <w:szCs w:val="20"/>
              </w:rPr>
              <w:t xml:space="preserve">Készpénz, számlakövetelések központi bankokkal szemben </w:t>
            </w:r>
          </w:p>
        </w:tc>
        <w:tc>
          <w:tcPr>
            <w:tcW w:w="3686" w:type="dxa"/>
            <w:shd w:val="clear" w:color="auto" w:fill="auto"/>
            <w:tcMar>
              <w:top w:w="85" w:type="dxa"/>
            </w:tcMar>
            <w:vAlign w:val="center"/>
          </w:tcPr>
          <w:p w14:paraId="645C3C30" w14:textId="6C4ADDAF" w:rsidR="00FE6B4B" w:rsidRPr="00ED3820" w:rsidRDefault="00394F45" w:rsidP="00196EAE">
            <w:pPr>
              <w:contextualSpacing/>
              <w:jc w:val="both"/>
              <w:rPr>
                <w:rFonts w:ascii="Arial" w:hAnsi="Arial" w:cs="Arial"/>
                <w:sz w:val="20"/>
                <w:szCs w:val="20"/>
              </w:rPr>
            </w:pPr>
            <w:r>
              <w:rPr>
                <w:rFonts w:ascii="Arial" w:hAnsi="Arial" w:cs="Arial"/>
                <w:sz w:val="20"/>
                <w:szCs w:val="20"/>
              </w:rPr>
              <w:t>(EU) 2021/451</w:t>
            </w:r>
            <w:r w:rsidR="00FE6B4B" w:rsidRPr="00ED2630">
              <w:rPr>
                <w:rFonts w:ascii="Arial" w:hAnsi="Arial" w:cs="Arial"/>
                <w:sz w:val="20"/>
                <w:szCs w:val="20"/>
              </w:rPr>
              <w:t xml:space="preserve"> bizottsági végrehajtási rendelet</w:t>
            </w:r>
            <w:r w:rsidR="00D80B60">
              <w:rPr>
                <w:rFonts w:ascii="Arial" w:hAnsi="Arial" w:cs="Arial"/>
                <w:sz w:val="20"/>
                <w:szCs w:val="20"/>
              </w:rPr>
              <w:t xml:space="preserve"> </w:t>
            </w:r>
            <w:r w:rsidR="006F01A8" w:rsidRPr="00ED3820">
              <w:rPr>
                <w:rFonts w:ascii="Arial" w:hAnsi="Arial" w:cs="Arial"/>
                <w:sz w:val="20"/>
                <w:szCs w:val="20"/>
              </w:rPr>
              <w:t>III.</w:t>
            </w:r>
            <w:r w:rsidR="00FE6B4B" w:rsidRPr="00ED3820">
              <w:rPr>
                <w:rFonts w:ascii="Arial" w:hAnsi="Arial" w:cs="Arial"/>
                <w:sz w:val="20"/>
                <w:szCs w:val="20"/>
              </w:rPr>
              <w:t xml:space="preserve"> melléklet F 01.01 tábla, </w:t>
            </w:r>
            <w:r w:rsidR="00FE38A5">
              <w:rPr>
                <w:rFonts w:ascii="Arial" w:hAnsi="Arial" w:cs="Arial"/>
                <w:sz w:val="20"/>
                <w:szCs w:val="20"/>
              </w:rPr>
              <w:t>0</w:t>
            </w:r>
            <w:r w:rsidR="00FE6B4B" w:rsidRPr="00ED3820">
              <w:rPr>
                <w:rFonts w:ascii="Arial" w:hAnsi="Arial" w:cs="Arial"/>
                <w:sz w:val="20"/>
                <w:szCs w:val="20"/>
              </w:rPr>
              <w:t xml:space="preserve">010. sor, </w:t>
            </w:r>
            <w:r w:rsidR="00FE38A5">
              <w:rPr>
                <w:rFonts w:ascii="Arial" w:hAnsi="Arial" w:cs="Arial"/>
                <w:sz w:val="20"/>
                <w:szCs w:val="20"/>
              </w:rPr>
              <w:t>0</w:t>
            </w:r>
            <w:r w:rsidR="00FE6B4B" w:rsidRPr="00ED3820">
              <w:rPr>
                <w:rFonts w:ascii="Arial" w:hAnsi="Arial" w:cs="Arial"/>
                <w:sz w:val="20"/>
                <w:szCs w:val="20"/>
              </w:rPr>
              <w:t>010. oszlop</w:t>
            </w:r>
            <w:r w:rsidR="00DF5CDF" w:rsidRPr="00ED3820">
              <w:rPr>
                <w:rFonts w:ascii="Arial" w:hAnsi="Arial" w:cs="Arial"/>
                <w:sz w:val="20"/>
                <w:szCs w:val="20"/>
              </w:rPr>
              <w:t xml:space="preserve"> csökkentve </w:t>
            </w:r>
            <w:r w:rsidR="00FE38A5">
              <w:rPr>
                <w:rFonts w:ascii="Arial" w:hAnsi="Arial" w:cs="Arial"/>
                <w:sz w:val="20"/>
                <w:szCs w:val="20"/>
              </w:rPr>
              <w:t>0</w:t>
            </w:r>
            <w:r w:rsidR="00DF5CDF" w:rsidRPr="00ED3820">
              <w:rPr>
                <w:rFonts w:ascii="Arial" w:hAnsi="Arial" w:cs="Arial"/>
                <w:sz w:val="20"/>
                <w:szCs w:val="20"/>
              </w:rPr>
              <w:t xml:space="preserve">040. sor, </w:t>
            </w:r>
            <w:r w:rsidR="00FE38A5">
              <w:rPr>
                <w:rFonts w:ascii="Arial" w:hAnsi="Arial" w:cs="Arial"/>
                <w:sz w:val="20"/>
                <w:szCs w:val="20"/>
              </w:rPr>
              <w:t>0</w:t>
            </w:r>
            <w:r w:rsidR="00DF5CDF" w:rsidRPr="00ED3820">
              <w:rPr>
                <w:rFonts w:ascii="Arial" w:hAnsi="Arial" w:cs="Arial"/>
                <w:sz w:val="20"/>
                <w:szCs w:val="20"/>
              </w:rPr>
              <w:t>010. oszloppal</w:t>
            </w:r>
          </w:p>
        </w:tc>
      </w:tr>
      <w:tr w:rsidR="00FE6B4B" w:rsidRPr="00ED3820" w14:paraId="5A6ABEF5" w14:textId="77777777" w:rsidTr="00D23413">
        <w:tc>
          <w:tcPr>
            <w:tcW w:w="1101" w:type="dxa"/>
            <w:shd w:val="clear" w:color="auto" w:fill="auto"/>
            <w:tcMar>
              <w:top w:w="85" w:type="dxa"/>
            </w:tcMar>
            <w:vAlign w:val="center"/>
          </w:tcPr>
          <w:p w14:paraId="17C641C8" w14:textId="77777777" w:rsidR="00FE6B4B" w:rsidRPr="00ED3820" w:rsidRDefault="00FE6B4B" w:rsidP="00D16669">
            <w:pPr>
              <w:contextualSpacing/>
              <w:rPr>
                <w:rFonts w:ascii="Arial" w:hAnsi="Arial" w:cs="Arial"/>
                <w:sz w:val="20"/>
                <w:szCs w:val="20"/>
              </w:rPr>
            </w:pPr>
            <w:r w:rsidRPr="00ED3820">
              <w:rPr>
                <w:rFonts w:ascii="Arial" w:hAnsi="Arial" w:cs="Arial"/>
                <w:sz w:val="20"/>
                <w:szCs w:val="20"/>
              </w:rPr>
              <w:t>020</w:t>
            </w:r>
          </w:p>
        </w:tc>
        <w:tc>
          <w:tcPr>
            <w:tcW w:w="1215" w:type="dxa"/>
            <w:vAlign w:val="center"/>
          </w:tcPr>
          <w:p w14:paraId="2BD65127" w14:textId="77777777" w:rsidR="00FE6B4B" w:rsidRPr="00CA25FB" w:rsidRDefault="00FE6B4B" w:rsidP="00D16669">
            <w:pPr>
              <w:contextualSpacing/>
              <w:rPr>
                <w:rFonts w:ascii="Arial" w:hAnsi="Arial" w:cs="Arial"/>
                <w:sz w:val="20"/>
                <w:szCs w:val="20"/>
              </w:rPr>
            </w:pPr>
            <w:r w:rsidRPr="00CA25FB">
              <w:rPr>
                <w:rFonts w:ascii="Arial" w:hAnsi="Arial" w:cs="Arial"/>
                <w:sz w:val="20"/>
                <w:szCs w:val="20"/>
              </w:rPr>
              <w:t>1.2.</w:t>
            </w:r>
          </w:p>
        </w:tc>
        <w:tc>
          <w:tcPr>
            <w:tcW w:w="3349" w:type="dxa"/>
            <w:shd w:val="clear" w:color="auto" w:fill="auto"/>
            <w:tcMar>
              <w:top w:w="85" w:type="dxa"/>
            </w:tcMar>
            <w:vAlign w:val="center"/>
          </w:tcPr>
          <w:p w14:paraId="57F4012F" w14:textId="16C811FD" w:rsidR="00FE6B4B" w:rsidRPr="00ED3820" w:rsidRDefault="00FE6B4B" w:rsidP="00637D24">
            <w:pPr>
              <w:contextualSpacing/>
              <w:jc w:val="both"/>
              <w:rPr>
                <w:rFonts w:ascii="Arial" w:hAnsi="Arial" w:cs="Arial"/>
                <w:sz w:val="20"/>
                <w:szCs w:val="20"/>
                <w:highlight w:val="red"/>
              </w:rPr>
            </w:pPr>
            <w:r w:rsidRPr="00ED2630">
              <w:rPr>
                <w:rFonts w:ascii="Arial" w:hAnsi="Arial" w:cs="Arial"/>
                <w:sz w:val="20"/>
                <w:szCs w:val="20"/>
              </w:rPr>
              <w:t xml:space="preserve">Fordított visszavásárlási hitelek </w:t>
            </w:r>
          </w:p>
        </w:tc>
        <w:tc>
          <w:tcPr>
            <w:tcW w:w="3686" w:type="dxa"/>
            <w:shd w:val="clear" w:color="auto" w:fill="auto"/>
            <w:tcMar>
              <w:top w:w="85" w:type="dxa"/>
            </w:tcMar>
            <w:vAlign w:val="center"/>
          </w:tcPr>
          <w:p w14:paraId="46DE54DF" w14:textId="6D6D86CE" w:rsidR="00FE6B4B" w:rsidRPr="00ED3820" w:rsidRDefault="00394F45" w:rsidP="00196EAE">
            <w:pPr>
              <w:contextualSpacing/>
              <w:jc w:val="both"/>
              <w:rPr>
                <w:rFonts w:ascii="Arial" w:hAnsi="Arial" w:cs="Arial"/>
                <w:sz w:val="20"/>
                <w:szCs w:val="20"/>
              </w:rPr>
            </w:pPr>
            <w:r>
              <w:rPr>
                <w:rFonts w:ascii="Arial" w:hAnsi="Arial" w:cs="Arial"/>
                <w:sz w:val="20"/>
                <w:szCs w:val="20"/>
              </w:rPr>
              <w:t>(EU) 2021/451</w:t>
            </w:r>
            <w:r w:rsidR="00FE6B4B" w:rsidRPr="00ED3820">
              <w:rPr>
                <w:rFonts w:ascii="Arial" w:hAnsi="Arial" w:cs="Arial"/>
                <w:sz w:val="20"/>
                <w:szCs w:val="20"/>
              </w:rPr>
              <w:t xml:space="preserve"> bizottsági végrehajtási rendelet</w:t>
            </w:r>
            <w:r w:rsidR="00D80B60">
              <w:rPr>
                <w:rFonts w:ascii="Arial" w:hAnsi="Arial" w:cs="Arial"/>
                <w:sz w:val="20"/>
                <w:szCs w:val="20"/>
              </w:rPr>
              <w:t xml:space="preserve"> </w:t>
            </w:r>
            <w:r w:rsidR="006F01A8" w:rsidRPr="00ED3820">
              <w:rPr>
                <w:rFonts w:ascii="Arial" w:hAnsi="Arial" w:cs="Arial"/>
                <w:sz w:val="20"/>
                <w:szCs w:val="20"/>
              </w:rPr>
              <w:t>III</w:t>
            </w:r>
            <w:r w:rsidR="00C07C1B">
              <w:rPr>
                <w:rFonts w:ascii="Arial" w:hAnsi="Arial" w:cs="Arial"/>
                <w:sz w:val="20"/>
                <w:szCs w:val="20"/>
              </w:rPr>
              <w:t>.</w:t>
            </w:r>
            <w:r w:rsidR="00FE6B4B" w:rsidRPr="00ED3820">
              <w:rPr>
                <w:rFonts w:ascii="Arial" w:hAnsi="Arial" w:cs="Arial"/>
                <w:sz w:val="20"/>
                <w:szCs w:val="20"/>
              </w:rPr>
              <w:t xml:space="preserve"> melléklet F 05.0</w:t>
            </w:r>
            <w:r w:rsidR="0015281D" w:rsidRPr="00ED3820">
              <w:rPr>
                <w:rFonts w:ascii="Arial" w:hAnsi="Arial" w:cs="Arial"/>
                <w:sz w:val="20"/>
                <w:szCs w:val="20"/>
              </w:rPr>
              <w:t>1</w:t>
            </w:r>
            <w:r w:rsidR="00FE6B4B" w:rsidRPr="00ED3820">
              <w:rPr>
                <w:rFonts w:ascii="Arial" w:hAnsi="Arial" w:cs="Arial"/>
                <w:sz w:val="20"/>
                <w:szCs w:val="20"/>
              </w:rPr>
              <w:t xml:space="preserve"> tábla, </w:t>
            </w:r>
            <w:r w:rsidR="00FE38A5">
              <w:rPr>
                <w:rFonts w:ascii="Arial" w:hAnsi="Arial" w:cs="Arial"/>
                <w:sz w:val="20"/>
                <w:szCs w:val="20"/>
              </w:rPr>
              <w:t>0</w:t>
            </w:r>
            <w:r w:rsidR="00FE6B4B" w:rsidRPr="00ED3820">
              <w:rPr>
                <w:rFonts w:ascii="Arial" w:hAnsi="Arial" w:cs="Arial"/>
                <w:sz w:val="20"/>
                <w:szCs w:val="20"/>
              </w:rPr>
              <w:t xml:space="preserve">050. sor, </w:t>
            </w:r>
            <w:r w:rsidR="00FE38A5">
              <w:rPr>
                <w:rFonts w:ascii="Arial" w:hAnsi="Arial" w:cs="Arial"/>
                <w:sz w:val="20"/>
                <w:szCs w:val="20"/>
              </w:rPr>
              <w:t>0</w:t>
            </w:r>
            <w:r w:rsidR="00FE6B4B" w:rsidRPr="00ED3820">
              <w:rPr>
                <w:rFonts w:ascii="Arial" w:hAnsi="Arial" w:cs="Arial"/>
                <w:sz w:val="20"/>
                <w:szCs w:val="20"/>
              </w:rPr>
              <w:t>010.+…+</w:t>
            </w:r>
            <w:r w:rsidR="00FE38A5">
              <w:rPr>
                <w:rFonts w:ascii="Arial" w:hAnsi="Arial" w:cs="Arial"/>
                <w:sz w:val="20"/>
                <w:szCs w:val="20"/>
              </w:rPr>
              <w:t>0</w:t>
            </w:r>
            <w:r w:rsidR="00FE6B4B" w:rsidRPr="00ED3820">
              <w:rPr>
                <w:rFonts w:ascii="Arial" w:hAnsi="Arial" w:cs="Arial"/>
                <w:sz w:val="20"/>
                <w:szCs w:val="20"/>
              </w:rPr>
              <w:t>060. oszlop</w:t>
            </w:r>
          </w:p>
        </w:tc>
      </w:tr>
      <w:tr w:rsidR="00FE6B4B" w:rsidRPr="00ED3820" w14:paraId="07297F2E" w14:textId="77777777" w:rsidTr="00D23413">
        <w:tc>
          <w:tcPr>
            <w:tcW w:w="1101" w:type="dxa"/>
            <w:shd w:val="clear" w:color="auto" w:fill="auto"/>
            <w:tcMar>
              <w:top w:w="85" w:type="dxa"/>
            </w:tcMar>
            <w:vAlign w:val="center"/>
          </w:tcPr>
          <w:p w14:paraId="4C2CB5F0" w14:textId="77777777" w:rsidR="00FE6B4B" w:rsidRPr="00ED3820" w:rsidRDefault="00FE6B4B" w:rsidP="00D16669">
            <w:pPr>
              <w:contextualSpacing/>
              <w:rPr>
                <w:rFonts w:ascii="Arial" w:hAnsi="Arial" w:cs="Arial"/>
                <w:sz w:val="20"/>
                <w:szCs w:val="20"/>
              </w:rPr>
            </w:pPr>
            <w:r w:rsidRPr="00ED3820">
              <w:rPr>
                <w:rFonts w:ascii="Arial" w:hAnsi="Arial" w:cs="Arial"/>
                <w:sz w:val="20"/>
                <w:szCs w:val="20"/>
              </w:rPr>
              <w:t>030</w:t>
            </w:r>
          </w:p>
        </w:tc>
        <w:tc>
          <w:tcPr>
            <w:tcW w:w="1215" w:type="dxa"/>
            <w:vAlign w:val="center"/>
          </w:tcPr>
          <w:p w14:paraId="6A4C9878" w14:textId="77777777" w:rsidR="00FE6B4B" w:rsidRPr="00CA25FB" w:rsidRDefault="00FE6B4B" w:rsidP="00D16669">
            <w:pPr>
              <w:contextualSpacing/>
              <w:rPr>
                <w:rFonts w:ascii="Arial" w:hAnsi="Arial" w:cs="Arial"/>
                <w:sz w:val="20"/>
                <w:szCs w:val="20"/>
              </w:rPr>
            </w:pPr>
            <w:r w:rsidRPr="00CA25FB">
              <w:rPr>
                <w:rFonts w:ascii="Arial" w:hAnsi="Arial" w:cs="Arial"/>
                <w:sz w:val="20"/>
                <w:szCs w:val="20"/>
              </w:rPr>
              <w:t>1.3.</w:t>
            </w:r>
          </w:p>
        </w:tc>
        <w:tc>
          <w:tcPr>
            <w:tcW w:w="3349" w:type="dxa"/>
            <w:shd w:val="clear" w:color="auto" w:fill="auto"/>
            <w:tcMar>
              <w:top w:w="85" w:type="dxa"/>
            </w:tcMar>
            <w:vAlign w:val="center"/>
          </w:tcPr>
          <w:p w14:paraId="17821D18" w14:textId="137B4DD9" w:rsidR="00FE6B4B" w:rsidRPr="00ED3820" w:rsidRDefault="00FE6B4B" w:rsidP="00637D24">
            <w:pPr>
              <w:contextualSpacing/>
              <w:jc w:val="both"/>
              <w:rPr>
                <w:rFonts w:ascii="Arial" w:hAnsi="Arial" w:cs="Arial"/>
                <w:sz w:val="20"/>
                <w:szCs w:val="20"/>
              </w:rPr>
            </w:pPr>
            <w:r w:rsidRPr="00ED2630">
              <w:rPr>
                <w:rFonts w:ascii="Arial" w:hAnsi="Arial" w:cs="Arial"/>
                <w:sz w:val="20"/>
                <w:szCs w:val="20"/>
              </w:rPr>
              <w:t>Háztartásoknak nyújtott hitelek</w:t>
            </w:r>
            <w:r w:rsidR="009A16D9" w:rsidRPr="00ED2630">
              <w:rPr>
                <w:rFonts w:ascii="Arial" w:hAnsi="Arial" w:cs="Arial"/>
                <w:sz w:val="20"/>
                <w:szCs w:val="20"/>
              </w:rPr>
              <w:t xml:space="preserve"> és előlegek </w:t>
            </w:r>
            <w:r w:rsidRPr="00ED2630">
              <w:rPr>
                <w:rFonts w:ascii="Arial" w:hAnsi="Arial" w:cs="Arial"/>
                <w:sz w:val="20"/>
                <w:szCs w:val="20"/>
              </w:rPr>
              <w:t xml:space="preserve">(fordított </w:t>
            </w:r>
            <w:r w:rsidR="009A16D9" w:rsidRPr="00ED3820">
              <w:rPr>
                <w:rFonts w:ascii="Arial" w:hAnsi="Arial" w:cs="Arial"/>
                <w:sz w:val="20"/>
                <w:szCs w:val="20"/>
              </w:rPr>
              <w:t>visszavásárlási hitelek kivételével</w:t>
            </w:r>
            <w:r w:rsidR="00E64426">
              <w:rPr>
                <w:rFonts w:ascii="Arial" w:hAnsi="Arial" w:cs="Arial"/>
                <w:sz w:val="20"/>
                <w:szCs w:val="20"/>
              </w:rPr>
              <w:t>)</w:t>
            </w:r>
          </w:p>
        </w:tc>
        <w:tc>
          <w:tcPr>
            <w:tcW w:w="3686" w:type="dxa"/>
            <w:shd w:val="clear" w:color="auto" w:fill="auto"/>
            <w:tcMar>
              <w:top w:w="85" w:type="dxa"/>
            </w:tcMar>
            <w:vAlign w:val="center"/>
          </w:tcPr>
          <w:p w14:paraId="75A2F1F7" w14:textId="3B52A96B" w:rsidR="00FE6B4B" w:rsidRPr="00ED3820" w:rsidRDefault="00394F45" w:rsidP="00196EAE">
            <w:pPr>
              <w:contextualSpacing/>
              <w:jc w:val="both"/>
              <w:rPr>
                <w:rFonts w:ascii="Arial" w:hAnsi="Arial" w:cs="Arial"/>
                <w:sz w:val="20"/>
                <w:szCs w:val="20"/>
              </w:rPr>
            </w:pPr>
            <w:r>
              <w:rPr>
                <w:rFonts w:ascii="Arial" w:hAnsi="Arial" w:cs="Arial"/>
                <w:sz w:val="20"/>
                <w:szCs w:val="20"/>
              </w:rPr>
              <w:t>(EU) 2021/451</w:t>
            </w:r>
            <w:r w:rsidR="00FE6B4B" w:rsidRPr="00ED3820">
              <w:rPr>
                <w:rFonts w:ascii="Arial" w:hAnsi="Arial" w:cs="Arial"/>
                <w:sz w:val="20"/>
                <w:szCs w:val="20"/>
              </w:rPr>
              <w:t xml:space="preserve"> bizottsági végrehajtási rendelet </w:t>
            </w:r>
            <w:r w:rsidR="006F01A8" w:rsidRPr="00ED3820">
              <w:rPr>
                <w:rFonts w:ascii="Arial" w:hAnsi="Arial" w:cs="Arial"/>
                <w:sz w:val="20"/>
                <w:szCs w:val="20"/>
              </w:rPr>
              <w:t>III.</w:t>
            </w:r>
            <w:r w:rsidR="00FE6B4B" w:rsidRPr="00ED3820">
              <w:rPr>
                <w:rFonts w:ascii="Arial" w:hAnsi="Arial" w:cs="Arial"/>
                <w:sz w:val="20"/>
                <w:szCs w:val="20"/>
              </w:rPr>
              <w:t xml:space="preserve"> melléklet F 05.0</w:t>
            </w:r>
            <w:r w:rsidR="0015281D" w:rsidRPr="00ED3820">
              <w:rPr>
                <w:rFonts w:ascii="Arial" w:hAnsi="Arial" w:cs="Arial"/>
                <w:sz w:val="20"/>
                <w:szCs w:val="20"/>
              </w:rPr>
              <w:t>1</w:t>
            </w:r>
            <w:r w:rsidR="00FE6B4B" w:rsidRPr="00ED3820">
              <w:rPr>
                <w:rFonts w:ascii="Arial" w:hAnsi="Arial" w:cs="Arial"/>
                <w:sz w:val="20"/>
                <w:szCs w:val="20"/>
              </w:rPr>
              <w:t xml:space="preserve"> tábla </w:t>
            </w:r>
            <w:r w:rsidR="00FE38A5">
              <w:rPr>
                <w:rFonts w:ascii="Arial" w:hAnsi="Arial" w:cs="Arial"/>
                <w:sz w:val="20"/>
                <w:szCs w:val="20"/>
              </w:rPr>
              <w:t>0</w:t>
            </w:r>
            <w:r w:rsidR="00FE6B4B" w:rsidRPr="00ED3820">
              <w:rPr>
                <w:rFonts w:ascii="Arial" w:hAnsi="Arial" w:cs="Arial"/>
                <w:sz w:val="20"/>
                <w:szCs w:val="20"/>
              </w:rPr>
              <w:t xml:space="preserve">080. sor, </w:t>
            </w:r>
            <w:r w:rsidR="00FE38A5">
              <w:rPr>
                <w:rFonts w:ascii="Arial" w:hAnsi="Arial" w:cs="Arial"/>
                <w:sz w:val="20"/>
                <w:szCs w:val="20"/>
              </w:rPr>
              <w:t>0</w:t>
            </w:r>
            <w:r w:rsidR="00FE6B4B" w:rsidRPr="00ED3820">
              <w:rPr>
                <w:rFonts w:ascii="Arial" w:hAnsi="Arial" w:cs="Arial"/>
                <w:sz w:val="20"/>
                <w:szCs w:val="20"/>
              </w:rPr>
              <w:t xml:space="preserve">060. oszlop csökkentve </w:t>
            </w:r>
            <w:r w:rsidR="00FE38A5">
              <w:rPr>
                <w:rFonts w:ascii="Arial" w:hAnsi="Arial" w:cs="Arial"/>
                <w:sz w:val="20"/>
                <w:szCs w:val="20"/>
              </w:rPr>
              <w:t>0</w:t>
            </w:r>
            <w:r w:rsidR="00FE6B4B" w:rsidRPr="00ED3820">
              <w:rPr>
                <w:rFonts w:ascii="Arial" w:hAnsi="Arial" w:cs="Arial"/>
                <w:sz w:val="20"/>
                <w:szCs w:val="20"/>
              </w:rPr>
              <w:t>050. sor,</w:t>
            </w:r>
            <w:r w:rsidR="004675E2">
              <w:rPr>
                <w:rFonts w:ascii="Arial" w:hAnsi="Arial" w:cs="Arial"/>
                <w:sz w:val="20"/>
                <w:szCs w:val="20"/>
              </w:rPr>
              <w:t xml:space="preserve"> </w:t>
            </w:r>
            <w:r w:rsidR="00FE38A5">
              <w:rPr>
                <w:rFonts w:ascii="Arial" w:hAnsi="Arial" w:cs="Arial"/>
                <w:sz w:val="20"/>
                <w:szCs w:val="20"/>
              </w:rPr>
              <w:t>0</w:t>
            </w:r>
            <w:r w:rsidR="00FE6B4B" w:rsidRPr="00ED3820">
              <w:rPr>
                <w:rFonts w:ascii="Arial" w:hAnsi="Arial" w:cs="Arial"/>
                <w:sz w:val="20"/>
                <w:szCs w:val="20"/>
              </w:rPr>
              <w:t>060. oszloppal</w:t>
            </w:r>
          </w:p>
        </w:tc>
      </w:tr>
      <w:tr w:rsidR="00480EAD" w:rsidRPr="00ED3820" w14:paraId="3EF29070" w14:textId="77777777" w:rsidTr="00D23413">
        <w:tc>
          <w:tcPr>
            <w:tcW w:w="1101" w:type="dxa"/>
            <w:shd w:val="clear" w:color="auto" w:fill="auto"/>
            <w:tcMar>
              <w:top w:w="85" w:type="dxa"/>
            </w:tcMar>
            <w:vAlign w:val="center"/>
          </w:tcPr>
          <w:p w14:paraId="07D61EAD" w14:textId="650FF3C9" w:rsidR="00480EAD" w:rsidRPr="00ED3820" w:rsidRDefault="00480EAD" w:rsidP="00D16669">
            <w:pPr>
              <w:contextualSpacing/>
              <w:rPr>
                <w:rFonts w:ascii="Arial" w:hAnsi="Arial" w:cs="Arial"/>
                <w:sz w:val="20"/>
                <w:szCs w:val="20"/>
              </w:rPr>
            </w:pPr>
            <w:r w:rsidRPr="00ED3820">
              <w:rPr>
                <w:rFonts w:ascii="Arial" w:hAnsi="Arial" w:cs="Arial"/>
                <w:sz w:val="20"/>
                <w:szCs w:val="20"/>
              </w:rPr>
              <w:t>035</w:t>
            </w:r>
          </w:p>
        </w:tc>
        <w:tc>
          <w:tcPr>
            <w:tcW w:w="1215" w:type="dxa"/>
            <w:vAlign w:val="center"/>
          </w:tcPr>
          <w:p w14:paraId="3C639708" w14:textId="17548D64" w:rsidR="00480EAD" w:rsidRPr="00CA25FB" w:rsidRDefault="00480EAD" w:rsidP="00D16669">
            <w:pPr>
              <w:contextualSpacing/>
              <w:rPr>
                <w:rFonts w:ascii="Arial" w:hAnsi="Arial" w:cs="Arial"/>
                <w:sz w:val="20"/>
                <w:szCs w:val="20"/>
              </w:rPr>
            </w:pPr>
            <w:r w:rsidRPr="00CA25FB">
              <w:rPr>
                <w:rFonts w:ascii="Arial" w:hAnsi="Arial" w:cs="Arial"/>
                <w:sz w:val="20"/>
                <w:szCs w:val="20"/>
              </w:rPr>
              <w:t>1.3</w:t>
            </w:r>
            <w:r w:rsidR="000E2AE3">
              <w:rPr>
                <w:rFonts w:ascii="Arial" w:hAnsi="Arial" w:cs="Arial"/>
                <w:sz w:val="20"/>
                <w:szCs w:val="20"/>
              </w:rPr>
              <w:t>.</w:t>
            </w:r>
            <w:r w:rsidRPr="00CA25FB">
              <w:rPr>
                <w:rFonts w:ascii="Arial" w:hAnsi="Arial" w:cs="Arial"/>
                <w:sz w:val="20"/>
                <w:szCs w:val="20"/>
              </w:rPr>
              <w:t>*</w:t>
            </w:r>
          </w:p>
        </w:tc>
        <w:tc>
          <w:tcPr>
            <w:tcW w:w="3349" w:type="dxa"/>
            <w:shd w:val="clear" w:color="auto" w:fill="auto"/>
            <w:tcMar>
              <w:top w:w="85" w:type="dxa"/>
            </w:tcMar>
            <w:vAlign w:val="center"/>
          </w:tcPr>
          <w:p w14:paraId="53A5F2FC" w14:textId="39D3B3BC" w:rsidR="00480EAD" w:rsidRPr="00ED2630" w:rsidRDefault="00F0750B" w:rsidP="00637D24">
            <w:pPr>
              <w:contextualSpacing/>
              <w:jc w:val="both"/>
              <w:rPr>
                <w:rFonts w:ascii="Arial" w:hAnsi="Arial" w:cs="Arial"/>
                <w:sz w:val="20"/>
                <w:szCs w:val="20"/>
              </w:rPr>
            </w:pPr>
            <w:r w:rsidRPr="00ED2630">
              <w:rPr>
                <w:rFonts w:ascii="Arial" w:hAnsi="Arial" w:cs="Arial"/>
                <w:sz w:val="20"/>
                <w:szCs w:val="20"/>
              </w:rPr>
              <w:t>1.3</w:t>
            </w:r>
            <w:r w:rsidR="00586BFC">
              <w:rPr>
                <w:rFonts w:ascii="Arial" w:hAnsi="Arial" w:cs="Arial"/>
                <w:sz w:val="20"/>
                <w:szCs w:val="20"/>
              </w:rPr>
              <w:t>.</w:t>
            </w:r>
            <w:r w:rsidR="00C07C1B">
              <w:rPr>
                <w:rFonts w:ascii="Arial" w:hAnsi="Arial" w:cs="Arial"/>
                <w:sz w:val="20"/>
                <w:szCs w:val="20"/>
              </w:rPr>
              <w:t>-</w:t>
            </w:r>
            <w:r w:rsidRPr="00ED2630">
              <w:rPr>
                <w:rFonts w:ascii="Arial" w:hAnsi="Arial" w:cs="Arial"/>
                <w:sz w:val="20"/>
                <w:szCs w:val="20"/>
              </w:rPr>
              <w:t>ból</w:t>
            </w:r>
            <w:r w:rsidR="00F0666B">
              <w:rPr>
                <w:rFonts w:ascii="Arial" w:hAnsi="Arial" w:cs="Arial"/>
                <w:sz w:val="20"/>
                <w:szCs w:val="20"/>
              </w:rPr>
              <w:t>:</w:t>
            </w:r>
            <w:r w:rsidRPr="00ED2630">
              <w:rPr>
                <w:rFonts w:ascii="Arial" w:hAnsi="Arial" w:cs="Arial"/>
                <w:sz w:val="20"/>
                <w:szCs w:val="20"/>
              </w:rPr>
              <w:t xml:space="preserve"> nem </w:t>
            </w:r>
            <w:r w:rsidR="00480EAD" w:rsidRPr="00ED2630">
              <w:rPr>
                <w:rFonts w:ascii="Arial" w:hAnsi="Arial" w:cs="Arial"/>
                <w:sz w:val="20"/>
                <w:szCs w:val="20"/>
              </w:rPr>
              <w:t>teljesítő</w:t>
            </w:r>
          </w:p>
        </w:tc>
        <w:tc>
          <w:tcPr>
            <w:tcW w:w="3686" w:type="dxa"/>
            <w:shd w:val="clear" w:color="auto" w:fill="auto"/>
            <w:tcMar>
              <w:top w:w="85" w:type="dxa"/>
            </w:tcMar>
            <w:vAlign w:val="center"/>
          </w:tcPr>
          <w:p w14:paraId="206788A9" w14:textId="542ED5F9" w:rsidR="00480EAD" w:rsidRPr="00ED3820" w:rsidRDefault="00480EAD" w:rsidP="00196EAE">
            <w:pPr>
              <w:contextualSpacing/>
              <w:jc w:val="both"/>
              <w:rPr>
                <w:rFonts w:ascii="Arial" w:hAnsi="Arial" w:cs="Arial"/>
                <w:sz w:val="20"/>
                <w:szCs w:val="20"/>
              </w:rPr>
            </w:pPr>
            <w:r w:rsidRPr="000E2AE3">
              <w:rPr>
                <w:rFonts w:ascii="Arial" w:hAnsi="Arial" w:cs="Arial"/>
                <w:sz w:val="20"/>
                <w:szCs w:val="20"/>
              </w:rPr>
              <w:t>a 39/2016. (X. 11.) MNB rendelet alapján nem teljesítőnek minősülő kitettség</w:t>
            </w:r>
          </w:p>
        </w:tc>
      </w:tr>
      <w:tr w:rsidR="00FE6B4B" w:rsidRPr="00ED3820" w14:paraId="3D4E642E" w14:textId="77777777" w:rsidTr="00D23413">
        <w:tc>
          <w:tcPr>
            <w:tcW w:w="1101" w:type="dxa"/>
            <w:shd w:val="clear" w:color="auto" w:fill="auto"/>
            <w:tcMar>
              <w:top w:w="85" w:type="dxa"/>
            </w:tcMar>
            <w:vAlign w:val="center"/>
          </w:tcPr>
          <w:p w14:paraId="5E00B14B" w14:textId="77777777" w:rsidR="00FE6B4B" w:rsidRPr="00ED3820" w:rsidRDefault="00FE6B4B" w:rsidP="00D16669">
            <w:pPr>
              <w:contextualSpacing/>
              <w:rPr>
                <w:rFonts w:ascii="Arial" w:hAnsi="Arial" w:cs="Arial"/>
                <w:sz w:val="20"/>
                <w:szCs w:val="20"/>
              </w:rPr>
            </w:pPr>
            <w:r w:rsidRPr="00ED3820">
              <w:rPr>
                <w:rFonts w:ascii="Arial" w:hAnsi="Arial" w:cs="Arial"/>
                <w:sz w:val="20"/>
                <w:szCs w:val="20"/>
              </w:rPr>
              <w:lastRenderedPageBreak/>
              <w:t>040</w:t>
            </w:r>
          </w:p>
        </w:tc>
        <w:tc>
          <w:tcPr>
            <w:tcW w:w="1215" w:type="dxa"/>
            <w:vAlign w:val="center"/>
          </w:tcPr>
          <w:p w14:paraId="5B9E832E" w14:textId="77777777" w:rsidR="00FE6B4B" w:rsidRPr="00CA25FB" w:rsidRDefault="00FE6B4B" w:rsidP="00D16669">
            <w:pPr>
              <w:contextualSpacing/>
              <w:rPr>
                <w:rFonts w:ascii="Arial" w:hAnsi="Arial" w:cs="Arial"/>
                <w:sz w:val="20"/>
                <w:szCs w:val="20"/>
              </w:rPr>
            </w:pPr>
            <w:r w:rsidRPr="00CA25FB">
              <w:rPr>
                <w:rFonts w:ascii="Arial" w:hAnsi="Arial" w:cs="Arial"/>
                <w:sz w:val="20"/>
                <w:szCs w:val="20"/>
              </w:rPr>
              <w:t>1.3.1.</w:t>
            </w:r>
          </w:p>
        </w:tc>
        <w:tc>
          <w:tcPr>
            <w:tcW w:w="3349" w:type="dxa"/>
            <w:shd w:val="clear" w:color="auto" w:fill="auto"/>
            <w:tcMar>
              <w:top w:w="85" w:type="dxa"/>
            </w:tcMar>
            <w:vAlign w:val="center"/>
          </w:tcPr>
          <w:p w14:paraId="6B1B5BFE" w14:textId="4F4BB8B4" w:rsidR="00FE6B4B" w:rsidRPr="00ED2630" w:rsidRDefault="00FE6B4B" w:rsidP="00637D24">
            <w:pPr>
              <w:contextualSpacing/>
              <w:jc w:val="both"/>
              <w:rPr>
                <w:rFonts w:ascii="Arial" w:hAnsi="Arial" w:cs="Arial"/>
                <w:sz w:val="20"/>
                <w:szCs w:val="20"/>
              </w:rPr>
            </w:pPr>
            <w:r w:rsidRPr="00ED2630">
              <w:rPr>
                <w:rFonts w:ascii="Arial" w:hAnsi="Arial" w:cs="Arial"/>
                <w:sz w:val="20"/>
                <w:szCs w:val="20"/>
              </w:rPr>
              <w:t>Hazai tevékenység</w:t>
            </w:r>
            <w:r w:rsidR="00480EAD" w:rsidRPr="00ED2630">
              <w:rPr>
                <w:rFonts w:ascii="Arial" w:hAnsi="Arial" w:cs="Arial"/>
                <w:sz w:val="20"/>
                <w:szCs w:val="20"/>
              </w:rPr>
              <w:t>ek</w:t>
            </w:r>
          </w:p>
        </w:tc>
        <w:tc>
          <w:tcPr>
            <w:tcW w:w="3686" w:type="dxa"/>
            <w:shd w:val="clear" w:color="auto" w:fill="auto"/>
            <w:tcMar>
              <w:top w:w="85" w:type="dxa"/>
            </w:tcMar>
            <w:vAlign w:val="center"/>
          </w:tcPr>
          <w:p w14:paraId="13A508C7" w14:textId="6971E194" w:rsidR="00FE6B4B" w:rsidRPr="006E162A" w:rsidRDefault="00394F45" w:rsidP="00485785">
            <w:pPr>
              <w:contextualSpacing/>
              <w:jc w:val="both"/>
              <w:rPr>
                <w:rFonts w:ascii="Arial" w:hAnsi="Arial" w:cs="Arial"/>
                <w:sz w:val="20"/>
                <w:szCs w:val="20"/>
              </w:rPr>
            </w:pPr>
            <w:r>
              <w:rPr>
                <w:rFonts w:ascii="Arial" w:hAnsi="Arial" w:cs="Arial"/>
                <w:sz w:val="20"/>
                <w:szCs w:val="20"/>
              </w:rPr>
              <w:t>(EU) 2021/451</w:t>
            </w:r>
            <w:r w:rsidRPr="00ED2630">
              <w:rPr>
                <w:rFonts w:ascii="Arial" w:hAnsi="Arial" w:cs="Arial"/>
                <w:sz w:val="20"/>
                <w:szCs w:val="20"/>
              </w:rPr>
              <w:t xml:space="preserve"> </w:t>
            </w:r>
            <w:r w:rsidR="00FE6B4B" w:rsidRPr="00ED2630">
              <w:rPr>
                <w:rFonts w:ascii="Arial" w:hAnsi="Arial" w:cs="Arial"/>
                <w:sz w:val="20"/>
                <w:szCs w:val="20"/>
              </w:rPr>
              <w:t>bizottsági végrehajtási rendelet V. melléklet 2. rész</w:t>
            </w:r>
            <w:r w:rsidR="00D17383" w:rsidRPr="006E162A">
              <w:rPr>
                <w:rFonts w:ascii="Arial" w:hAnsi="Arial" w:cs="Arial"/>
                <w:sz w:val="20"/>
                <w:szCs w:val="20"/>
              </w:rPr>
              <w:t xml:space="preserve"> 270</w:t>
            </w:r>
            <w:r w:rsidR="00FE6B4B" w:rsidRPr="006521E4">
              <w:rPr>
                <w:rFonts w:ascii="Arial" w:hAnsi="Arial" w:cs="Arial"/>
                <w:sz w:val="20"/>
                <w:szCs w:val="20"/>
              </w:rPr>
              <w:t>. pont</w:t>
            </w:r>
          </w:p>
        </w:tc>
      </w:tr>
      <w:tr w:rsidR="00F0750B" w:rsidRPr="00ED3820" w14:paraId="37B0D5C9" w14:textId="77777777" w:rsidTr="00D23413">
        <w:tc>
          <w:tcPr>
            <w:tcW w:w="1101" w:type="dxa"/>
            <w:shd w:val="clear" w:color="auto" w:fill="auto"/>
            <w:tcMar>
              <w:top w:w="85" w:type="dxa"/>
            </w:tcMar>
            <w:vAlign w:val="center"/>
          </w:tcPr>
          <w:p w14:paraId="6F7390AA" w14:textId="1F5BF598" w:rsidR="00F0750B" w:rsidRPr="00ED3820" w:rsidRDefault="00F0750B" w:rsidP="00D16669">
            <w:pPr>
              <w:contextualSpacing/>
              <w:rPr>
                <w:rFonts w:ascii="Arial" w:hAnsi="Arial" w:cs="Arial"/>
                <w:sz w:val="20"/>
                <w:szCs w:val="20"/>
              </w:rPr>
            </w:pPr>
            <w:r w:rsidRPr="00ED3820">
              <w:rPr>
                <w:rFonts w:ascii="Arial" w:hAnsi="Arial" w:cs="Arial"/>
                <w:sz w:val="20"/>
                <w:szCs w:val="20"/>
              </w:rPr>
              <w:t>041</w:t>
            </w:r>
          </w:p>
        </w:tc>
        <w:tc>
          <w:tcPr>
            <w:tcW w:w="1215" w:type="dxa"/>
            <w:vAlign w:val="center"/>
          </w:tcPr>
          <w:p w14:paraId="3F81ABD7" w14:textId="1E062002" w:rsidR="00F0750B" w:rsidRPr="00ED2630" w:rsidRDefault="00F0750B" w:rsidP="00663E90">
            <w:pPr>
              <w:contextualSpacing/>
              <w:rPr>
                <w:rFonts w:ascii="Arial" w:hAnsi="Arial" w:cs="Arial"/>
                <w:sz w:val="20"/>
                <w:szCs w:val="20"/>
              </w:rPr>
            </w:pPr>
            <w:r w:rsidRPr="00CA25FB">
              <w:rPr>
                <w:rFonts w:ascii="Arial" w:hAnsi="Arial" w:cs="Arial"/>
                <w:sz w:val="20"/>
                <w:szCs w:val="20"/>
              </w:rPr>
              <w:t>1.3.1.*</w:t>
            </w:r>
          </w:p>
        </w:tc>
        <w:tc>
          <w:tcPr>
            <w:tcW w:w="3349" w:type="dxa"/>
            <w:shd w:val="clear" w:color="auto" w:fill="auto"/>
            <w:tcMar>
              <w:top w:w="85" w:type="dxa"/>
            </w:tcMar>
            <w:vAlign w:val="center"/>
          </w:tcPr>
          <w:p w14:paraId="6CAA281A" w14:textId="65FDB4A7" w:rsidR="00F0750B" w:rsidRPr="00ED2630" w:rsidRDefault="00F0750B" w:rsidP="00637D24">
            <w:pPr>
              <w:contextualSpacing/>
              <w:jc w:val="both"/>
              <w:rPr>
                <w:rFonts w:ascii="Arial" w:hAnsi="Arial" w:cs="Arial"/>
                <w:sz w:val="20"/>
                <w:szCs w:val="20"/>
              </w:rPr>
            </w:pPr>
            <w:r w:rsidRPr="00ED2630">
              <w:rPr>
                <w:rFonts w:ascii="Arial" w:hAnsi="Arial" w:cs="Arial"/>
                <w:sz w:val="20"/>
                <w:szCs w:val="20"/>
              </w:rPr>
              <w:t xml:space="preserve">Halmozott értékvesztés és hitelkockázatból származó negatív valósérték-változások halmozott összege </w:t>
            </w:r>
            <w:r w:rsidR="00450FEC">
              <w:rPr>
                <w:rFonts w:ascii="Arial" w:hAnsi="Arial" w:cs="Arial"/>
                <w:sz w:val="20"/>
                <w:szCs w:val="20"/>
              </w:rPr>
              <w:t>–</w:t>
            </w:r>
            <w:r w:rsidRPr="00ED2630">
              <w:rPr>
                <w:rFonts w:ascii="Arial" w:hAnsi="Arial" w:cs="Arial"/>
                <w:sz w:val="20"/>
                <w:szCs w:val="20"/>
              </w:rPr>
              <w:t xml:space="preserve"> hazai (tájékoztató adat)</w:t>
            </w:r>
          </w:p>
        </w:tc>
        <w:tc>
          <w:tcPr>
            <w:tcW w:w="3686" w:type="dxa"/>
            <w:shd w:val="clear" w:color="auto" w:fill="auto"/>
            <w:tcMar>
              <w:top w:w="85" w:type="dxa"/>
            </w:tcMar>
            <w:vAlign w:val="center"/>
          </w:tcPr>
          <w:p w14:paraId="56D154D8" w14:textId="1C4431EF" w:rsidR="00F0750B" w:rsidRPr="00ED3820" w:rsidRDefault="00A428A2" w:rsidP="00485785">
            <w:pPr>
              <w:pStyle w:val="Default"/>
              <w:jc w:val="both"/>
              <w:rPr>
                <w:rFonts w:ascii="Arial" w:hAnsi="Arial" w:cs="Arial"/>
                <w:sz w:val="20"/>
                <w:szCs w:val="20"/>
              </w:rPr>
            </w:pPr>
            <w:r>
              <w:rPr>
                <w:rFonts w:ascii="Arial" w:hAnsi="Arial" w:cs="Arial"/>
                <w:sz w:val="20"/>
                <w:szCs w:val="20"/>
              </w:rPr>
              <w:t>(EU) 2021/451</w:t>
            </w:r>
            <w:r w:rsidR="00833C68" w:rsidRPr="00586BFC">
              <w:rPr>
                <w:rFonts w:ascii="Arial" w:hAnsi="Arial" w:cs="Arial"/>
                <w:sz w:val="20"/>
                <w:szCs w:val="20"/>
              </w:rPr>
              <w:t xml:space="preserve"> </w:t>
            </w:r>
            <w:r w:rsidR="00833C68">
              <w:rPr>
                <w:rFonts w:ascii="Arial" w:hAnsi="Arial" w:cs="Arial"/>
                <w:sz w:val="20"/>
                <w:szCs w:val="20"/>
              </w:rPr>
              <w:t xml:space="preserve">bizottsági végrehajtási </w:t>
            </w:r>
            <w:r w:rsidR="00833C68" w:rsidRPr="00586BFC">
              <w:rPr>
                <w:rFonts w:ascii="Arial" w:hAnsi="Arial" w:cs="Arial"/>
                <w:sz w:val="20"/>
                <w:szCs w:val="20"/>
              </w:rPr>
              <w:t>rendelet V. melléklet 2. rész 69</w:t>
            </w:r>
            <w:r w:rsidR="00833C68">
              <w:rPr>
                <w:rFonts w:ascii="Arial" w:hAnsi="Arial" w:cs="Arial"/>
                <w:sz w:val="20"/>
                <w:szCs w:val="20"/>
              </w:rPr>
              <w:t>-</w:t>
            </w:r>
            <w:r w:rsidR="00833C68" w:rsidRPr="00586BFC">
              <w:rPr>
                <w:rFonts w:ascii="Arial" w:hAnsi="Arial" w:cs="Arial"/>
                <w:sz w:val="20"/>
                <w:szCs w:val="20"/>
              </w:rPr>
              <w:t>71.</w:t>
            </w:r>
            <w:r w:rsidR="00833C68">
              <w:rPr>
                <w:rFonts w:ascii="Arial" w:hAnsi="Arial" w:cs="Arial"/>
                <w:sz w:val="20"/>
                <w:szCs w:val="20"/>
              </w:rPr>
              <w:t xml:space="preserve"> pont</w:t>
            </w:r>
          </w:p>
        </w:tc>
      </w:tr>
      <w:tr w:rsidR="00FE6B4B" w:rsidRPr="00ED3820" w14:paraId="56DBB155" w14:textId="77777777" w:rsidTr="00D23413">
        <w:tc>
          <w:tcPr>
            <w:tcW w:w="1101" w:type="dxa"/>
            <w:shd w:val="clear" w:color="auto" w:fill="auto"/>
            <w:tcMar>
              <w:top w:w="85" w:type="dxa"/>
            </w:tcMar>
            <w:vAlign w:val="center"/>
          </w:tcPr>
          <w:p w14:paraId="285E46EB" w14:textId="77777777" w:rsidR="00FE6B4B" w:rsidRPr="00ED3820" w:rsidRDefault="00FE6B4B" w:rsidP="00D16669">
            <w:pPr>
              <w:contextualSpacing/>
              <w:rPr>
                <w:rFonts w:ascii="Arial" w:hAnsi="Arial" w:cs="Arial"/>
                <w:sz w:val="20"/>
                <w:szCs w:val="20"/>
              </w:rPr>
            </w:pPr>
            <w:r w:rsidRPr="00ED3820">
              <w:rPr>
                <w:rFonts w:ascii="Arial" w:hAnsi="Arial" w:cs="Arial"/>
                <w:sz w:val="20"/>
                <w:szCs w:val="20"/>
              </w:rPr>
              <w:t>070</w:t>
            </w:r>
          </w:p>
        </w:tc>
        <w:tc>
          <w:tcPr>
            <w:tcW w:w="1215" w:type="dxa"/>
            <w:vAlign w:val="center"/>
          </w:tcPr>
          <w:p w14:paraId="43D3710C" w14:textId="75808DB2" w:rsidR="00FE6B4B" w:rsidRPr="00ED3820" w:rsidRDefault="00FE6B4B" w:rsidP="00663E90">
            <w:pPr>
              <w:contextualSpacing/>
              <w:rPr>
                <w:rFonts w:ascii="Arial" w:hAnsi="Arial" w:cs="Arial"/>
                <w:sz w:val="20"/>
                <w:szCs w:val="20"/>
              </w:rPr>
            </w:pPr>
            <w:r w:rsidRPr="00CA25FB">
              <w:rPr>
                <w:rFonts w:ascii="Arial" w:hAnsi="Arial" w:cs="Arial"/>
                <w:sz w:val="20"/>
                <w:szCs w:val="20"/>
              </w:rPr>
              <w:t>1.3.1.</w:t>
            </w:r>
            <w:r w:rsidR="000C6A51" w:rsidRPr="00ED3820">
              <w:rPr>
                <w:rFonts w:ascii="Arial" w:hAnsi="Arial" w:cs="Arial"/>
                <w:sz w:val="20"/>
                <w:szCs w:val="20"/>
              </w:rPr>
              <w:t>**</w:t>
            </w:r>
          </w:p>
        </w:tc>
        <w:tc>
          <w:tcPr>
            <w:tcW w:w="3349" w:type="dxa"/>
            <w:shd w:val="clear" w:color="auto" w:fill="auto"/>
            <w:tcMar>
              <w:top w:w="85" w:type="dxa"/>
            </w:tcMar>
            <w:vAlign w:val="center"/>
          </w:tcPr>
          <w:p w14:paraId="21A4C4BC" w14:textId="5FC8DF32" w:rsidR="00FE6B4B" w:rsidRPr="00ED3820" w:rsidRDefault="00FE6B4B" w:rsidP="00637D24">
            <w:pPr>
              <w:contextualSpacing/>
              <w:jc w:val="both"/>
              <w:rPr>
                <w:rFonts w:ascii="Arial" w:hAnsi="Arial" w:cs="Arial"/>
                <w:sz w:val="20"/>
                <w:szCs w:val="20"/>
              </w:rPr>
            </w:pPr>
            <w:r w:rsidRPr="00ED3820">
              <w:rPr>
                <w:rFonts w:ascii="Arial" w:hAnsi="Arial" w:cs="Arial"/>
                <w:sz w:val="20"/>
                <w:szCs w:val="20"/>
              </w:rPr>
              <w:t>1.3.1.-ből:</w:t>
            </w:r>
            <w:r w:rsidR="004B0551">
              <w:rPr>
                <w:rFonts w:ascii="Arial" w:hAnsi="Arial" w:cs="Arial"/>
                <w:sz w:val="20"/>
                <w:szCs w:val="20"/>
              </w:rPr>
              <w:t xml:space="preserve"> </w:t>
            </w:r>
            <w:r w:rsidRPr="00ED3820">
              <w:rPr>
                <w:rFonts w:ascii="Arial" w:hAnsi="Arial" w:cs="Arial"/>
                <w:sz w:val="20"/>
                <w:szCs w:val="20"/>
              </w:rPr>
              <w:t>Lakóingatlannal fedezett hitelek</w:t>
            </w:r>
          </w:p>
        </w:tc>
        <w:tc>
          <w:tcPr>
            <w:tcW w:w="3686" w:type="dxa"/>
            <w:shd w:val="clear" w:color="auto" w:fill="auto"/>
            <w:tcMar>
              <w:top w:w="85" w:type="dxa"/>
            </w:tcMar>
            <w:vAlign w:val="center"/>
          </w:tcPr>
          <w:p w14:paraId="491C1EF0" w14:textId="26E20014" w:rsidR="00FE6B4B" w:rsidRPr="00ED3820" w:rsidRDefault="00A428A2" w:rsidP="00485785">
            <w:pPr>
              <w:contextualSpacing/>
              <w:jc w:val="both"/>
              <w:rPr>
                <w:rFonts w:ascii="Arial" w:hAnsi="Arial" w:cs="Arial"/>
                <w:sz w:val="20"/>
                <w:szCs w:val="20"/>
              </w:rPr>
            </w:pPr>
            <w:r>
              <w:rPr>
                <w:rFonts w:ascii="Arial" w:hAnsi="Arial" w:cs="Arial"/>
                <w:sz w:val="20"/>
                <w:szCs w:val="20"/>
              </w:rPr>
              <w:t>(EU) 2021/45</w:t>
            </w:r>
            <w:r w:rsidR="00753C4F">
              <w:rPr>
                <w:rFonts w:ascii="Arial" w:hAnsi="Arial" w:cs="Arial"/>
                <w:sz w:val="20"/>
                <w:szCs w:val="20"/>
              </w:rPr>
              <w:t>1</w:t>
            </w:r>
            <w:r w:rsidR="00FE6B4B" w:rsidRPr="00ED3820">
              <w:rPr>
                <w:rFonts w:ascii="Arial" w:hAnsi="Arial" w:cs="Arial"/>
                <w:sz w:val="20"/>
                <w:szCs w:val="20"/>
              </w:rPr>
              <w:t xml:space="preserve"> bizottsági végrehajtási rendelet </w:t>
            </w:r>
            <w:r w:rsidR="000C6A51" w:rsidRPr="00ED3820">
              <w:rPr>
                <w:rFonts w:ascii="Arial" w:hAnsi="Arial" w:cs="Arial"/>
                <w:sz w:val="20"/>
                <w:szCs w:val="20"/>
              </w:rPr>
              <w:t xml:space="preserve">III. </w:t>
            </w:r>
            <w:r w:rsidR="00FE6B4B" w:rsidRPr="00ED3820">
              <w:rPr>
                <w:rFonts w:ascii="Arial" w:hAnsi="Arial" w:cs="Arial"/>
                <w:sz w:val="20"/>
                <w:szCs w:val="20"/>
              </w:rPr>
              <w:t xml:space="preserve">melléklet F 20.04 tábla, </w:t>
            </w:r>
            <w:r w:rsidR="00FE38A5">
              <w:rPr>
                <w:rFonts w:ascii="Arial" w:hAnsi="Arial" w:cs="Arial"/>
                <w:sz w:val="20"/>
                <w:szCs w:val="20"/>
              </w:rPr>
              <w:t>0</w:t>
            </w:r>
            <w:r w:rsidR="00FE6B4B" w:rsidRPr="00ED3820">
              <w:rPr>
                <w:rFonts w:ascii="Arial" w:hAnsi="Arial" w:cs="Arial"/>
                <w:sz w:val="20"/>
                <w:szCs w:val="20"/>
              </w:rPr>
              <w:t xml:space="preserve">230. sor, </w:t>
            </w:r>
            <w:r w:rsidR="00FE38A5">
              <w:rPr>
                <w:rFonts w:ascii="Arial" w:hAnsi="Arial" w:cs="Arial"/>
                <w:sz w:val="20"/>
                <w:szCs w:val="20"/>
              </w:rPr>
              <w:t>0</w:t>
            </w:r>
            <w:r w:rsidR="00FE6B4B" w:rsidRPr="00ED3820">
              <w:rPr>
                <w:rFonts w:ascii="Arial" w:hAnsi="Arial" w:cs="Arial"/>
                <w:sz w:val="20"/>
                <w:szCs w:val="20"/>
              </w:rPr>
              <w:t xml:space="preserve">010. oszlop csökkentve </w:t>
            </w:r>
            <w:r w:rsidR="00FE38A5">
              <w:rPr>
                <w:rFonts w:ascii="Arial" w:hAnsi="Arial" w:cs="Arial"/>
                <w:sz w:val="20"/>
                <w:szCs w:val="20"/>
              </w:rPr>
              <w:t>0</w:t>
            </w:r>
            <w:r w:rsidR="00FE6B4B" w:rsidRPr="00ED3820">
              <w:rPr>
                <w:rFonts w:ascii="Arial" w:hAnsi="Arial" w:cs="Arial"/>
                <w:sz w:val="20"/>
                <w:szCs w:val="20"/>
              </w:rPr>
              <w:t xml:space="preserve">230. sor, </w:t>
            </w:r>
            <w:r w:rsidR="00FE38A5">
              <w:rPr>
                <w:rFonts w:ascii="Arial" w:hAnsi="Arial" w:cs="Arial"/>
                <w:sz w:val="20"/>
                <w:szCs w:val="20"/>
              </w:rPr>
              <w:t>0</w:t>
            </w:r>
            <w:r w:rsidR="00FE6B4B" w:rsidRPr="00ED3820">
              <w:rPr>
                <w:rFonts w:ascii="Arial" w:hAnsi="Arial" w:cs="Arial"/>
                <w:sz w:val="20"/>
                <w:szCs w:val="20"/>
              </w:rPr>
              <w:t>03</w:t>
            </w:r>
            <w:r w:rsidR="009672EA" w:rsidRPr="00ED3820">
              <w:rPr>
                <w:rFonts w:ascii="Arial" w:hAnsi="Arial" w:cs="Arial"/>
                <w:sz w:val="20"/>
                <w:szCs w:val="20"/>
              </w:rPr>
              <w:t>1</w:t>
            </w:r>
            <w:r w:rsidR="00FE6B4B" w:rsidRPr="00ED3820">
              <w:rPr>
                <w:rFonts w:ascii="Arial" w:hAnsi="Arial" w:cs="Arial"/>
                <w:sz w:val="20"/>
                <w:szCs w:val="20"/>
              </w:rPr>
              <w:t xml:space="preserve">. </w:t>
            </w:r>
            <w:r w:rsidR="00405A29" w:rsidRPr="00ED3820">
              <w:rPr>
                <w:rFonts w:ascii="Arial" w:hAnsi="Arial" w:cs="Arial"/>
                <w:sz w:val="20"/>
                <w:szCs w:val="20"/>
              </w:rPr>
              <w:t xml:space="preserve">és </w:t>
            </w:r>
            <w:r w:rsidR="00FE38A5">
              <w:rPr>
                <w:rFonts w:ascii="Arial" w:hAnsi="Arial" w:cs="Arial"/>
                <w:sz w:val="20"/>
                <w:szCs w:val="20"/>
              </w:rPr>
              <w:t>0</w:t>
            </w:r>
            <w:r w:rsidR="00405A29" w:rsidRPr="00ED3820">
              <w:rPr>
                <w:rFonts w:ascii="Arial" w:hAnsi="Arial" w:cs="Arial"/>
                <w:sz w:val="20"/>
                <w:szCs w:val="20"/>
              </w:rPr>
              <w:t>040</w:t>
            </w:r>
            <w:r w:rsidR="008C66BA" w:rsidRPr="00ED3820">
              <w:rPr>
                <w:rFonts w:ascii="Arial" w:hAnsi="Arial" w:cs="Arial"/>
                <w:sz w:val="20"/>
                <w:szCs w:val="20"/>
              </w:rPr>
              <w:t>.</w:t>
            </w:r>
            <w:r w:rsidR="00405A29" w:rsidRPr="00ED3820">
              <w:rPr>
                <w:rFonts w:ascii="Arial" w:hAnsi="Arial" w:cs="Arial"/>
                <w:sz w:val="20"/>
                <w:szCs w:val="20"/>
              </w:rPr>
              <w:t xml:space="preserve"> </w:t>
            </w:r>
            <w:r w:rsidR="00FE6B4B" w:rsidRPr="00ED3820">
              <w:rPr>
                <w:rFonts w:ascii="Arial" w:hAnsi="Arial" w:cs="Arial"/>
                <w:sz w:val="20"/>
                <w:szCs w:val="20"/>
              </w:rPr>
              <w:t>oszloppal</w:t>
            </w:r>
            <w:r w:rsidR="007839EF">
              <w:rPr>
                <w:rFonts w:ascii="Arial" w:hAnsi="Arial" w:cs="Arial"/>
                <w:sz w:val="20"/>
                <w:szCs w:val="20"/>
              </w:rPr>
              <w:t xml:space="preserve"> </w:t>
            </w:r>
            <w:r w:rsidR="004B0551">
              <w:rPr>
                <w:rFonts w:ascii="Arial" w:hAnsi="Arial" w:cs="Arial"/>
                <w:sz w:val="20"/>
                <w:szCs w:val="20"/>
              </w:rPr>
              <w:t>(</w:t>
            </w:r>
            <w:r w:rsidR="00833C68">
              <w:rPr>
                <w:rFonts w:ascii="Arial" w:hAnsi="Arial" w:cs="Arial"/>
                <w:sz w:val="20"/>
                <w:szCs w:val="20"/>
              </w:rPr>
              <w:t>c</w:t>
            </w:r>
            <w:r w:rsidR="00FB69DF" w:rsidRPr="00ED3820">
              <w:rPr>
                <w:rFonts w:ascii="Arial" w:hAnsi="Arial" w:cs="Arial"/>
                <w:sz w:val="20"/>
                <w:szCs w:val="20"/>
              </w:rPr>
              <w:t>sak a hazai tevékenység</w:t>
            </w:r>
            <w:r w:rsidR="008C2963" w:rsidRPr="00ED3820">
              <w:rPr>
                <w:rFonts w:ascii="Arial" w:hAnsi="Arial" w:cs="Arial"/>
                <w:sz w:val="20"/>
                <w:szCs w:val="20"/>
              </w:rPr>
              <w:t xml:space="preserve"> során nyújtott lakóingatlannal fedezett jelzáloghitel adatokat kell megadni</w:t>
            </w:r>
            <w:r w:rsidR="00225B54">
              <w:rPr>
                <w:rFonts w:ascii="Arial" w:hAnsi="Arial" w:cs="Arial"/>
                <w:sz w:val="20"/>
                <w:szCs w:val="20"/>
              </w:rPr>
              <w:t>).</w:t>
            </w:r>
          </w:p>
        </w:tc>
      </w:tr>
      <w:tr w:rsidR="00000141" w:rsidRPr="00ED3820" w14:paraId="0ABE0606" w14:textId="77777777" w:rsidTr="00D23413">
        <w:tc>
          <w:tcPr>
            <w:tcW w:w="1101" w:type="dxa"/>
            <w:shd w:val="clear" w:color="auto" w:fill="auto"/>
            <w:tcMar>
              <w:top w:w="85" w:type="dxa"/>
            </w:tcMar>
            <w:vAlign w:val="center"/>
          </w:tcPr>
          <w:p w14:paraId="2EFEB557" w14:textId="15048E67" w:rsidR="00000141" w:rsidRPr="00ED3820" w:rsidRDefault="00000141" w:rsidP="00000141">
            <w:pPr>
              <w:contextualSpacing/>
              <w:rPr>
                <w:rFonts w:ascii="Arial" w:hAnsi="Arial" w:cs="Arial"/>
                <w:sz w:val="20"/>
                <w:szCs w:val="20"/>
              </w:rPr>
            </w:pPr>
            <w:r w:rsidRPr="00ED3820">
              <w:rPr>
                <w:rFonts w:ascii="Arial" w:hAnsi="Arial" w:cs="Arial"/>
                <w:sz w:val="20"/>
                <w:szCs w:val="20"/>
              </w:rPr>
              <w:t>092</w:t>
            </w:r>
          </w:p>
        </w:tc>
        <w:tc>
          <w:tcPr>
            <w:tcW w:w="1215" w:type="dxa"/>
            <w:vAlign w:val="center"/>
          </w:tcPr>
          <w:p w14:paraId="7C7F89D8" w14:textId="03E51449" w:rsidR="00000141" w:rsidRPr="00CA25FB" w:rsidRDefault="00000141" w:rsidP="00000141">
            <w:pPr>
              <w:contextualSpacing/>
              <w:rPr>
                <w:rFonts w:ascii="Arial" w:hAnsi="Arial" w:cs="Arial"/>
                <w:sz w:val="20"/>
                <w:szCs w:val="20"/>
              </w:rPr>
            </w:pPr>
            <w:r w:rsidRPr="00CA25FB">
              <w:rPr>
                <w:rFonts w:ascii="Arial" w:hAnsi="Arial" w:cs="Arial"/>
                <w:sz w:val="20"/>
                <w:szCs w:val="20"/>
              </w:rPr>
              <w:t>1.3.2</w:t>
            </w:r>
            <w:r w:rsidR="00586BFC">
              <w:rPr>
                <w:rFonts w:ascii="Arial" w:hAnsi="Arial" w:cs="Arial"/>
                <w:sz w:val="20"/>
                <w:szCs w:val="20"/>
              </w:rPr>
              <w:t>.</w:t>
            </w:r>
            <w:r w:rsidRPr="00CA25FB">
              <w:rPr>
                <w:rFonts w:ascii="Arial" w:hAnsi="Arial" w:cs="Arial"/>
                <w:sz w:val="20"/>
                <w:szCs w:val="20"/>
              </w:rPr>
              <w:t>*</w:t>
            </w:r>
          </w:p>
        </w:tc>
        <w:tc>
          <w:tcPr>
            <w:tcW w:w="3349" w:type="dxa"/>
            <w:shd w:val="clear" w:color="auto" w:fill="auto"/>
            <w:tcMar>
              <w:top w:w="85" w:type="dxa"/>
            </w:tcMar>
            <w:vAlign w:val="center"/>
          </w:tcPr>
          <w:p w14:paraId="43D82000" w14:textId="1C90576B" w:rsidR="00000141" w:rsidRPr="00ED2630" w:rsidRDefault="00000141" w:rsidP="00637D24">
            <w:pPr>
              <w:contextualSpacing/>
              <w:jc w:val="both"/>
              <w:rPr>
                <w:rFonts w:ascii="Arial" w:hAnsi="Arial" w:cs="Arial"/>
                <w:sz w:val="20"/>
                <w:szCs w:val="20"/>
              </w:rPr>
            </w:pPr>
            <w:r w:rsidRPr="00ED2630">
              <w:rPr>
                <w:rFonts w:ascii="Arial" w:hAnsi="Arial" w:cs="Arial"/>
                <w:sz w:val="20"/>
                <w:szCs w:val="20"/>
              </w:rPr>
              <w:t xml:space="preserve">Halmozott értékvesztés és hitelkockázatból származó negatív valósérték-változások halmozott összege </w:t>
            </w:r>
            <w:r w:rsidR="00930335">
              <w:rPr>
                <w:rFonts w:ascii="Arial" w:hAnsi="Arial" w:cs="Arial"/>
                <w:sz w:val="20"/>
                <w:szCs w:val="20"/>
              </w:rPr>
              <w:t>–</w:t>
            </w:r>
            <w:r w:rsidR="004B0551">
              <w:rPr>
                <w:rFonts w:ascii="Arial" w:hAnsi="Arial" w:cs="Arial"/>
                <w:sz w:val="20"/>
                <w:szCs w:val="20"/>
              </w:rPr>
              <w:t xml:space="preserve"> </w:t>
            </w:r>
            <w:r w:rsidRPr="00ED2630">
              <w:rPr>
                <w:rFonts w:ascii="Arial" w:hAnsi="Arial" w:cs="Arial"/>
                <w:sz w:val="20"/>
                <w:szCs w:val="20"/>
              </w:rPr>
              <w:t>más EGT</w:t>
            </w:r>
            <w:r w:rsidR="00833C68">
              <w:rPr>
                <w:rFonts w:ascii="Arial" w:hAnsi="Arial" w:cs="Arial"/>
                <w:sz w:val="20"/>
                <w:szCs w:val="20"/>
              </w:rPr>
              <w:t>-államok</w:t>
            </w:r>
            <w:r w:rsidRPr="00ED2630">
              <w:rPr>
                <w:rFonts w:ascii="Arial" w:hAnsi="Arial" w:cs="Arial"/>
                <w:sz w:val="20"/>
                <w:szCs w:val="20"/>
              </w:rPr>
              <w:t xml:space="preserve"> (tájékoztató adat)</w:t>
            </w:r>
          </w:p>
        </w:tc>
        <w:tc>
          <w:tcPr>
            <w:tcW w:w="3686" w:type="dxa"/>
            <w:shd w:val="clear" w:color="auto" w:fill="auto"/>
            <w:tcMar>
              <w:top w:w="85" w:type="dxa"/>
            </w:tcMar>
            <w:vAlign w:val="center"/>
          </w:tcPr>
          <w:p w14:paraId="555075A4" w14:textId="062C2434" w:rsidR="00000141" w:rsidRPr="00ED3820" w:rsidRDefault="00A428A2" w:rsidP="00485785">
            <w:pPr>
              <w:pStyle w:val="Default"/>
              <w:jc w:val="both"/>
              <w:rPr>
                <w:rFonts w:ascii="Arial" w:hAnsi="Arial" w:cs="Arial"/>
                <w:sz w:val="20"/>
                <w:szCs w:val="20"/>
              </w:rPr>
            </w:pPr>
            <w:r>
              <w:rPr>
                <w:rFonts w:ascii="Arial" w:hAnsi="Arial" w:cs="Arial"/>
                <w:sz w:val="20"/>
                <w:szCs w:val="20"/>
              </w:rPr>
              <w:t>(EU) 2021/451</w:t>
            </w:r>
            <w:r w:rsidR="00833C68" w:rsidRPr="00586BFC">
              <w:rPr>
                <w:rFonts w:ascii="Arial" w:hAnsi="Arial" w:cs="Arial"/>
                <w:sz w:val="20"/>
                <w:szCs w:val="20"/>
              </w:rPr>
              <w:t xml:space="preserve"> </w:t>
            </w:r>
            <w:r w:rsidR="00833C68">
              <w:rPr>
                <w:rFonts w:ascii="Arial" w:hAnsi="Arial" w:cs="Arial"/>
                <w:sz w:val="20"/>
                <w:szCs w:val="20"/>
              </w:rPr>
              <w:t xml:space="preserve">bizottsági végrehajtási </w:t>
            </w:r>
            <w:r w:rsidR="00833C68" w:rsidRPr="00586BFC">
              <w:rPr>
                <w:rFonts w:ascii="Arial" w:hAnsi="Arial" w:cs="Arial"/>
                <w:sz w:val="20"/>
                <w:szCs w:val="20"/>
              </w:rPr>
              <w:t>rendelet V. melléklet 2. rész 69</w:t>
            </w:r>
            <w:r w:rsidR="003B5538">
              <w:rPr>
                <w:rFonts w:ascii="Arial" w:hAnsi="Arial" w:cs="Arial"/>
                <w:sz w:val="20"/>
                <w:szCs w:val="20"/>
              </w:rPr>
              <w:t>-</w:t>
            </w:r>
            <w:r w:rsidR="00833C68" w:rsidRPr="00586BFC">
              <w:rPr>
                <w:rFonts w:ascii="Arial" w:hAnsi="Arial" w:cs="Arial"/>
                <w:sz w:val="20"/>
                <w:szCs w:val="20"/>
              </w:rPr>
              <w:t xml:space="preserve">71. </w:t>
            </w:r>
            <w:r w:rsidR="00833C68">
              <w:rPr>
                <w:rFonts w:ascii="Arial" w:hAnsi="Arial" w:cs="Arial"/>
                <w:sz w:val="20"/>
                <w:szCs w:val="20"/>
              </w:rPr>
              <w:t>pont</w:t>
            </w:r>
          </w:p>
        </w:tc>
      </w:tr>
      <w:tr w:rsidR="00000141" w:rsidRPr="00ED3820" w14:paraId="17D69599" w14:textId="77777777" w:rsidTr="00D23413">
        <w:tc>
          <w:tcPr>
            <w:tcW w:w="1101" w:type="dxa"/>
            <w:shd w:val="clear" w:color="auto" w:fill="auto"/>
            <w:tcMar>
              <w:top w:w="85" w:type="dxa"/>
            </w:tcMar>
            <w:vAlign w:val="center"/>
          </w:tcPr>
          <w:p w14:paraId="36F9C7CE" w14:textId="6F6A2B8B" w:rsidR="00000141" w:rsidRPr="00ED3820" w:rsidRDefault="00000141" w:rsidP="00000141">
            <w:pPr>
              <w:contextualSpacing/>
              <w:rPr>
                <w:rFonts w:ascii="Arial" w:hAnsi="Arial" w:cs="Arial"/>
                <w:sz w:val="20"/>
                <w:szCs w:val="20"/>
              </w:rPr>
            </w:pPr>
            <w:r w:rsidRPr="00ED3820">
              <w:rPr>
                <w:rFonts w:ascii="Arial" w:hAnsi="Arial" w:cs="Arial"/>
                <w:sz w:val="20"/>
                <w:szCs w:val="20"/>
              </w:rPr>
              <w:t>093</w:t>
            </w:r>
          </w:p>
        </w:tc>
        <w:tc>
          <w:tcPr>
            <w:tcW w:w="1215" w:type="dxa"/>
            <w:vAlign w:val="center"/>
          </w:tcPr>
          <w:p w14:paraId="27730972" w14:textId="577314CA" w:rsidR="00000141" w:rsidRPr="00CA25FB" w:rsidRDefault="00000141" w:rsidP="00000141">
            <w:pPr>
              <w:contextualSpacing/>
              <w:rPr>
                <w:rFonts w:ascii="Arial" w:hAnsi="Arial" w:cs="Arial"/>
                <w:sz w:val="20"/>
                <w:szCs w:val="20"/>
              </w:rPr>
            </w:pPr>
            <w:r w:rsidRPr="00CA25FB">
              <w:rPr>
                <w:rFonts w:ascii="Arial" w:hAnsi="Arial" w:cs="Arial"/>
                <w:sz w:val="20"/>
                <w:szCs w:val="20"/>
              </w:rPr>
              <w:t>1.3.2.**</w:t>
            </w:r>
          </w:p>
        </w:tc>
        <w:tc>
          <w:tcPr>
            <w:tcW w:w="3349" w:type="dxa"/>
            <w:shd w:val="clear" w:color="auto" w:fill="auto"/>
            <w:tcMar>
              <w:top w:w="85" w:type="dxa"/>
            </w:tcMar>
            <w:vAlign w:val="center"/>
          </w:tcPr>
          <w:p w14:paraId="033E2B91" w14:textId="46CE551F" w:rsidR="00000141" w:rsidRPr="00ED2630" w:rsidRDefault="00000141" w:rsidP="00637D24">
            <w:pPr>
              <w:contextualSpacing/>
              <w:jc w:val="both"/>
              <w:rPr>
                <w:rFonts w:ascii="Arial" w:hAnsi="Arial" w:cs="Arial"/>
                <w:sz w:val="20"/>
                <w:szCs w:val="20"/>
              </w:rPr>
            </w:pPr>
            <w:r w:rsidRPr="00ED2630">
              <w:rPr>
                <w:rFonts w:ascii="Arial" w:hAnsi="Arial" w:cs="Arial"/>
                <w:sz w:val="20"/>
                <w:szCs w:val="20"/>
              </w:rPr>
              <w:t>1.3.2</w:t>
            </w:r>
            <w:r w:rsidR="0055615F">
              <w:rPr>
                <w:rFonts w:ascii="Arial" w:hAnsi="Arial" w:cs="Arial"/>
                <w:sz w:val="20"/>
                <w:szCs w:val="20"/>
              </w:rPr>
              <w:t>.</w:t>
            </w:r>
            <w:r w:rsidRPr="00ED2630">
              <w:rPr>
                <w:rFonts w:ascii="Arial" w:hAnsi="Arial" w:cs="Arial"/>
                <w:sz w:val="20"/>
                <w:szCs w:val="20"/>
              </w:rPr>
              <w:t>-ből:</w:t>
            </w:r>
            <w:r w:rsidR="003D576C">
              <w:rPr>
                <w:rFonts w:ascii="Arial" w:hAnsi="Arial" w:cs="Arial"/>
                <w:sz w:val="20"/>
                <w:szCs w:val="20"/>
              </w:rPr>
              <w:t xml:space="preserve"> </w:t>
            </w:r>
            <w:r w:rsidRPr="00ED2630">
              <w:rPr>
                <w:rFonts w:ascii="Arial" w:hAnsi="Arial" w:cs="Arial"/>
                <w:sz w:val="20"/>
                <w:szCs w:val="20"/>
              </w:rPr>
              <w:t>Lakóingatlannal fedezett hitelek</w:t>
            </w:r>
          </w:p>
        </w:tc>
        <w:tc>
          <w:tcPr>
            <w:tcW w:w="3686" w:type="dxa"/>
            <w:shd w:val="clear" w:color="auto" w:fill="auto"/>
            <w:tcMar>
              <w:top w:w="85" w:type="dxa"/>
            </w:tcMar>
            <w:vAlign w:val="center"/>
          </w:tcPr>
          <w:p w14:paraId="031A024A" w14:textId="4823AA52" w:rsidR="00000141" w:rsidRPr="00CA25FB" w:rsidRDefault="00541C69" w:rsidP="00225B54">
            <w:pPr>
              <w:contextualSpacing/>
              <w:jc w:val="both"/>
              <w:rPr>
                <w:rFonts w:ascii="Arial" w:hAnsi="Arial" w:cs="Arial"/>
                <w:sz w:val="20"/>
                <w:szCs w:val="20"/>
              </w:rPr>
            </w:pPr>
            <w:r>
              <w:rPr>
                <w:rFonts w:ascii="Arial" w:hAnsi="Arial" w:cs="Arial"/>
                <w:sz w:val="20"/>
                <w:szCs w:val="20"/>
              </w:rPr>
              <w:t>(EU) 2021/451</w:t>
            </w:r>
            <w:r w:rsidR="001A114C" w:rsidRPr="00ED2630">
              <w:rPr>
                <w:rFonts w:ascii="Arial" w:hAnsi="Arial" w:cs="Arial"/>
                <w:sz w:val="20"/>
                <w:szCs w:val="20"/>
              </w:rPr>
              <w:t xml:space="preserve"> bizottsági végrehajtási rendelet III. melléklet F </w:t>
            </w:r>
            <w:r w:rsidR="001A114C" w:rsidRPr="006E162A">
              <w:rPr>
                <w:rFonts w:ascii="Arial" w:hAnsi="Arial" w:cs="Arial"/>
                <w:sz w:val="20"/>
                <w:szCs w:val="20"/>
              </w:rPr>
              <w:t xml:space="preserve">20.04 tábla, </w:t>
            </w:r>
            <w:r w:rsidR="00FE38A5">
              <w:rPr>
                <w:rFonts w:ascii="Arial" w:hAnsi="Arial" w:cs="Arial"/>
                <w:sz w:val="20"/>
                <w:szCs w:val="20"/>
              </w:rPr>
              <w:t>0</w:t>
            </w:r>
            <w:r w:rsidR="001A114C" w:rsidRPr="006E162A">
              <w:rPr>
                <w:rFonts w:ascii="Arial" w:hAnsi="Arial" w:cs="Arial"/>
                <w:sz w:val="20"/>
                <w:szCs w:val="20"/>
              </w:rPr>
              <w:t xml:space="preserve">230. sor, </w:t>
            </w:r>
            <w:r w:rsidR="00FE38A5">
              <w:rPr>
                <w:rFonts w:ascii="Arial" w:hAnsi="Arial" w:cs="Arial"/>
                <w:sz w:val="20"/>
                <w:szCs w:val="20"/>
              </w:rPr>
              <w:t>0</w:t>
            </w:r>
            <w:r w:rsidR="001A114C" w:rsidRPr="006E162A">
              <w:rPr>
                <w:rFonts w:ascii="Arial" w:hAnsi="Arial" w:cs="Arial"/>
                <w:sz w:val="20"/>
                <w:szCs w:val="20"/>
              </w:rPr>
              <w:t xml:space="preserve">010. oszlop csökkentve </w:t>
            </w:r>
            <w:r w:rsidR="00FE38A5">
              <w:rPr>
                <w:rFonts w:ascii="Arial" w:hAnsi="Arial" w:cs="Arial"/>
                <w:sz w:val="20"/>
                <w:szCs w:val="20"/>
              </w:rPr>
              <w:t>0</w:t>
            </w:r>
            <w:r w:rsidR="001A114C" w:rsidRPr="008F4673">
              <w:rPr>
                <w:rFonts w:ascii="Arial" w:hAnsi="Arial" w:cs="Arial"/>
                <w:sz w:val="20"/>
                <w:szCs w:val="20"/>
              </w:rPr>
              <w:t xml:space="preserve">230. sor, </w:t>
            </w:r>
            <w:r w:rsidR="00FE38A5">
              <w:rPr>
                <w:rFonts w:ascii="Arial" w:hAnsi="Arial" w:cs="Arial"/>
                <w:sz w:val="20"/>
                <w:szCs w:val="20"/>
              </w:rPr>
              <w:t>0</w:t>
            </w:r>
            <w:r w:rsidR="001A114C" w:rsidRPr="008F4673">
              <w:rPr>
                <w:rFonts w:ascii="Arial" w:hAnsi="Arial" w:cs="Arial"/>
                <w:sz w:val="20"/>
                <w:szCs w:val="20"/>
              </w:rPr>
              <w:t xml:space="preserve">031. </w:t>
            </w:r>
            <w:r w:rsidR="001A114C" w:rsidRPr="005E293C">
              <w:rPr>
                <w:rFonts w:ascii="Arial" w:hAnsi="Arial" w:cs="Arial"/>
                <w:sz w:val="20"/>
                <w:szCs w:val="20"/>
              </w:rPr>
              <w:t xml:space="preserve">és </w:t>
            </w:r>
            <w:r w:rsidR="00FE38A5">
              <w:rPr>
                <w:rFonts w:ascii="Arial" w:hAnsi="Arial" w:cs="Arial"/>
                <w:sz w:val="20"/>
                <w:szCs w:val="20"/>
              </w:rPr>
              <w:t>0</w:t>
            </w:r>
            <w:r w:rsidR="001A114C" w:rsidRPr="005E293C">
              <w:rPr>
                <w:rFonts w:ascii="Arial" w:hAnsi="Arial" w:cs="Arial"/>
                <w:sz w:val="20"/>
                <w:szCs w:val="20"/>
              </w:rPr>
              <w:t>040</w:t>
            </w:r>
            <w:r w:rsidR="001A114C" w:rsidRPr="00975916">
              <w:rPr>
                <w:rFonts w:ascii="Arial" w:hAnsi="Arial" w:cs="Arial"/>
                <w:sz w:val="20"/>
                <w:szCs w:val="20"/>
              </w:rPr>
              <w:t>. oszloppal</w:t>
            </w:r>
            <w:r w:rsidR="000E6C9F">
              <w:rPr>
                <w:rFonts w:ascii="Arial" w:hAnsi="Arial" w:cs="Arial"/>
                <w:sz w:val="20"/>
                <w:szCs w:val="20"/>
              </w:rPr>
              <w:t>;</w:t>
            </w:r>
            <w:r w:rsidR="001A114C" w:rsidRPr="00975916">
              <w:rPr>
                <w:rFonts w:ascii="Arial" w:hAnsi="Arial" w:cs="Arial"/>
                <w:sz w:val="20"/>
                <w:szCs w:val="20"/>
              </w:rPr>
              <w:t xml:space="preserve"> </w:t>
            </w:r>
            <w:r w:rsidR="004B0551">
              <w:rPr>
                <w:rFonts w:ascii="Arial" w:hAnsi="Arial" w:cs="Arial"/>
                <w:sz w:val="20"/>
                <w:szCs w:val="20"/>
              </w:rPr>
              <w:t>(</w:t>
            </w:r>
            <w:r w:rsidR="006B36F4">
              <w:rPr>
                <w:rFonts w:ascii="Arial" w:hAnsi="Arial" w:cs="Arial"/>
                <w:sz w:val="20"/>
                <w:szCs w:val="20"/>
              </w:rPr>
              <w:t>c</w:t>
            </w:r>
            <w:r w:rsidR="001A114C" w:rsidRPr="00975916">
              <w:rPr>
                <w:rFonts w:ascii="Arial" w:hAnsi="Arial" w:cs="Arial"/>
                <w:sz w:val="20"/>
                <w:szCs w:val="20"/>
              </w:rPr>
              <w:t xml:space="preserve">sak </w:t>
            </w:r>
            <w:r w:rsidR="006B36F4">
              <w:rPr>
                <w:rFonts w:ascii="Arial" w:hAnsi="Arial" w:cs="Arial"/>
                <w:sz w:val="20"/>
                <w:szCs w:val="20"/>
              </w:rPr>
              <w:t>a</w:t>
            </w:r>
            <w:r w:rsidR="000E6C9F">
              <w:rPr>
                <w:rFonts w:ascii="Arial" w:hAnsi="Arial" w:cs="Arial"/>
                <w:sz w:val="20"/>
                <w:szCs w:val="20"/>
              </w:rPr>
              <w:t xml:space="preserve"> </w:t>
            </w:r>
            <w:r w:rsidR="001A114C" w:rsidRPr="00975916">
              <w:rPr>
                <w:rFonts w:ascii="Arial" w:hAnsi="Arial" w:cs="Arial"/>
                <w:sz w:val="20"/>
                <w:szCs w:val="20"/>
              </w:rPr>
              <w:t xml:space="preserve">más </w:t>
            </w:r>
            <w:r w:rsidR="001A114C" w:rsidRPr="00586BFC">
              <w:rPr>
                <w:rFonts w:ascii="Arial" w:hAnsi="Arial" w:cs="Arial"/>
                <w:sz w:val="20"/>
                <w:szCs w:val="20"/>
              </w:rPr>
              <w:t>EGT</w:t>
            </w:r>
            <w:r w:rsidR="001A4EF5">
              <w:rPr>
                <w:rFonts w:ascii="Arial" w:hAnsi="Arial" w:cs="Arial"/>
                <w:sz w:val="20"/>
                <w:szCs w:val="20"/>
              </w:rPr>
              <w:t>-</w:t>
            </w:r>
            <w:r w:rsidR="00833C68">
              <w:rPr>
                <w:rFonts w:ascii="Arial" w:hAnsi="Arial" w:cs="Arial"/>
                <w:sz w:val="20"/>
                <w:szCs w:val="20"/>
              </w:rPr>
              <w:t>állam</w:t>
            </w:r>
            <w:r w:rsidR="001A114C" w:rsidRPr="00586BFC">
              <w:rPr>
                <w:rFonts w:ascii="Arial" w:hAnsi="Arial" w:cs="Arial"/>
                <w:sz w:val="20"/>
                <w:szCs w:val="20"/>
              </w:rPr>
              <w:t xml:space="preserve">ban elismert tevékenységek </w:t>
            </w:r>
            <w:r w:rsidR="001A114C" w:rsidRPr="00ED3820">
              <w:rPr>
                <w:rFonts w:ascii="Arial" w:hAnsi="Arial" w:cs="Arial"/>
                <w:sz w:val="20"/>
                <w:szCs w:val="20"/>
              </w:rPr>
              <w:t>során nyújtott lakóingatlannal fedezett jelzáloghitel adatokat kell megadni</w:t>
            </w:r>
            <w:r w:rsidR="004B0551">
              <w:rPr>
                <w:rFonts w:ascii="Arial" w:hAnsi="Arial" w:cs="Arial"/>
                <w:sz w:val="20"/>
                <w:szCs w:val="20"/>
              </w:rPr>
              <w:t>)</w:t>
            </w:r>
            <w:r w:rsidR="00DD2A36">
              <w:rPr>
                <w:rFonts w:ascii="Arial" w:hAnsi="Arial" w:cs="Arial"/>
                <w:sz w:val="20"/>
                <w:szCs w:val="20"/>
              </w:rPr>
              <w:t>.</w:t>
            </w:r>
          </w:p>
        </w:tc>
      </w:tr>
      <w:tr w:rsidR="00C147C0" w:rsidRPr="00ED3820" w14:paraId="5A2F6ACB" w14:textId="77777777" w:rsidTr="00D23413">
        <w:tc>
          <w:tcPr>
            <w:tcW w:w="1101" w:type="dxa"/>
            <w:shd w:val="clear" w:color="auto" w:fill="auto"/>
            <w:tcMar>
              <w:top w:w="85" w:type="dxa"/>
            </w:tcMar>
            <w:vAlign w:val="center"/>
          </w:tcPr>
          <w:p w14:paraId="2D53D2A8" w14:textId="798B502B" w:rsidR="00C147C0" w:rsidRPr="00ED3820" w:rsidRDefault="00C147C0" w:rsidP="00C147C0">
            <w:pPr>
              <w:contextualSpacing/>
              <w:rPr>
                <w:rFonts w:ascii="Arial" w:hAnsi="Arial" w:cs="Arial"/>
                <w:sz w:val="20"/>
                <w:szCs w:val="20"/>
              </w:rPr>
            </w:pPr>
            <w:r w:rsidRPr="00ED3820">
              <w:rPr>
                <w:rFonts w:ascii="Arial" w:hAnsi="Arial" w:cs="Arial"/>
                <w:sz w:val="20"/>
                <w:szCs w:val="20"/>
              </w:rPr>
              <w:t>097</w:t>
            </w:r>
          </w:p>
        </w:tc>
        <w:tc>
          <w:tcPr>
            <w:tcW w:w="1215" w:type="dxa"/>
            <w:vAlign w:val="center"/>
          </w:tcPr>
          <w:p w14:paraId="03C551EC" w14:textId="1FF5D5E9" w:rsidR="00C147C0" w:rsidRPr="00CA25FB" w:rsidRDefault="00C147C0" w:rsidP="00C147C0">
            <w:pPr>
              <w:contextualSpacing/>
              <w:rPr>
                <w:rFonts w:ascii="Arial" w:hAnsi="Arial" w:cs="Arial"/>
                <w:sz w:val="20"/>
                <w:szCs w:val="20"/>
              </w:rPr>
            </w:pPr>
            <w:r w:rsidRPr="00CA25FB">
              <w:rPr>
                <w:rFonts w:ascii="Arial" w:hAnsi="Arial" w:cs="Arial"/>
                <w:sz w:val="20"/>
                <w:szCs w:val="20"/>
              </w:rPr>
              <w:t>1.3.3.*</w:t>
            </w:r>
          </w:p>
        </w:tc>
        <w:tc>
          <w:tcPr>
            <w:tcW w:w="3349" w:type="dxa"/>
            <w:shd w:val="clear" w:color="auto" w:fill="auto"/>
            <w:tcMar>
              <w:top w:w="85" w:type="dxa"/>
            </w:tcMar>
            <w:vAlign w:val="center"/>
          </w:tcPr>
          <w:p w14:paraId="43E48AE0" w14:textId="1EFEE323" w:rsidR="00C147C0" w:rsidRPr="00ED2630" w:rsidRDefault="00C147C0" w:rsidP="00637D24">
            <w:pPr>
              <w:contextualSpacing/>
              <w:jc w:val="both"/>
              <w:rPr>
                <w:rFonts w:ascii="Arial" w:hAnsi="Arial" w:cs="Arial"/>
                <w:sz w:val="20"/>
                <w:szCs w:val="20"/>
              </w:rPr>
            </w:pPr>
            <w:r w:rsidRPr="00ED2630">
              <w:rPr>
                <w:rFonts w:ascii="Arial" w:hAnsi="Arial" w:cs="Arial"/>
                <w:sz w:val="20"/>
                <w:szCs w:val="20"/>
              </w:rPr>
              <w:t xml:space="preserve">Halmozott értékvesztés és hitelkockázatból származó negatív valósérték-változások halmozott összege </w:t>
            </w:r>
            <w:r w:rsidR="00097CEE">
              <w:rPr>
                <w:rFonts w:ascii="Arial" w:hAnsi="Arial" w:cs="Arial"/>
                <w:sz w:val="20"/>
                <w:szCs w:val="20"/>
              </w:rPr>
              <w:t>–</w:t>
            </w:r>
            <w:r w:rsidRPr="00ED2630">
              <w:rPr>
                <w:rFonts w:ascii="Arial" w:hAnsi="Arial" w:cs="Arial"/>
                <w:sz w:val="20"/>
                <w:szCs w:val="20"/>
              </w:rPr>
              <w:t xml:space="preserve"> </w:t>
            </w:r>
            <w:r w:rsidR="00551629">
              <w:rPr>
                <w:rFonts w:ascii="Arial" w:hAnsi="Arial" w:cs="Arial"/>
                <w:sz w:val="20"/>
                <w:szCs w:val="20"/>
              </w:rPr>
              <w:t xml:space="preserve">Harmadik ország </w:t>
            </w:r>
            <w:r w:rsidRPr="00ED2630">
              <w:rPr>
                <w:rFonts w:ascii="Arial" w:hAnsi="Arial" w:cs="Arial"/>
                <w:sz w:val="20"/>
                <w:szCs w:val="20"/>
              </w:rPr>
              <w:t>(tájékoztató adat)</w:t>
            </w:r>
          </w:p>
        </w:tc>
        <w:tc>
          <w:tcPr>
            <w:tcW w:w="3686" w:type="dxa"/>
            <w:shd w:val="clear" w:color="auto" w:fill="auto"/>
            <w:tcMar>
              <w:top w:w="85" w:type="dxa"/>
            </w:tcMar>
            <w:vAlign w:val="center"/>
          </w:tcPr>
          <w:p w14:paraId="31B0796F" w14:textId="5F656AD7" w:rsidR="00C147C0" w:rsidRPr="00ED3820" w:rsidRDefault="00297FB8" w:rsidP="00485785">
            <w:pPr>
              <w:pStyle w:val="Default"/>
              <w:jc w:val="both"/>
              <w:rPr>
                <w:rFonts w:ascii="Arial" w:hAnsi="Arial" w:cs="Arial"/>
                <w:sz w:val="20"/>
                <w:szCs w:val="20"/>
              </w:rPr>
            </w:pPr>
            <w:r>
              <w:rPr>
                <w:rFonts w:ascii="Arial" w:hAnsi="Arial" w:cs="Arial"/>
                <w:sz w:val="20"/>
                <w:szCs w:val="20"/>
              </w:rPr>
              <w:t>(EU) 2021/451</w:t>
            </w:r>
            <w:r w:rsidR="00833C68" w:rsidRPr="00586BFC">
              <w:rPr>
                <w:rFonts w:ascii="Arial" w:hAnsi="Arial" w:cs="Arial"/>
                <w:sz w:val="20"/>
                <w:szCs w:val="20"/>
              </w:rPr>
              <w:t xml:space="preserve"> </w:t>
            </w:r>
            <w:r w:rsidR="00833C68">
              <w:rPr>
                <w:rFonts w:ascii="Arial" w:hAnsi="Arial" w:cs="Arial"/>
                <w:sz w:val="20"/>
                <w:szCs w:val="20"/>
              </w:rPr>
              <w:t xml:space="preserve">bizottsági végrehajtási </w:t>
            </w:r>
            <w:r w:rsidR="00833C68" w:rsidRPr="00586BFC">
              <w:rPr>
                <w:rFonts w:ascii="Arial" w:hAnsi="Arial" w:cs="Arial"/>
                <w:sz w:val="20"/>
                <w:szCs w:val="20"/>
              </w:rPr>
              <w:t>rendelet V. melléklet 2. rész 69</w:t>
            </w:r>
            <w:r w:rsidR="00833C68">
              <w:rPr>
                <w:rFonts w:ascii="Arial" w:hAnsi="Arial" w:cs="Arial"/>
                <w:sz w:val="20"/>
                <w:szCs w:val="20"/>
              </w:rPr>
              <w:t>-</w:t>
            </w:r>
            <w:r w:rsidR="00833C68" w:rsidRPr="00586BFC">
              <w:rPr>
                <w:rFonts w:ascii="Arial" w:hAnsi="Arial" w:cs="Arial"/>
                <w:sz w:val="20"/>
                <w:szCs w:val="20"/>
              </w:rPr>
              <w:t xml:space="preserve">71. </w:t>
            </w:r>
            <w:r w:rsidR="00833C68">
              <w:rPr>
                <w:rFonts w:ascii="Arial" w:hAnsi="Arial" w:cs="Arial"/>
                <w:sz w:val="20"/>
                <w:szCs w:val="20"/>
              </w:rPr>
              <w:t>pont</w:t>
            </w:r>
            <w:r w:rsidR="00833C68" w:rsidRPr="00586BFC">
              <w:rPr>
                <w:rFonts w:ascii="Arial" w:hAnsi="Arial" w:cs="Arial"/>
                <w:sz w:val="20"/>
                <w:szCs w:val="20"/>
              </w:rPr>
              <w:t xml:space="preserve"> </w:t>
            </w:r>
            <w:r w:rsidR="00C147C0" w:rsidRPr="00586BFC">
              <w:rPr>
                <w:rFonts w:ascii="Arial" w:hAnsi="Arial" w:cs="Arial"/>
                <w:sz w:val="20"/>
                <w:szCs w:val="20"/>
              </w:rPr>
              <w:t xml:space="preserve"> </w:t>
            </w:r>
          </w:p>
        </w:tc>
      </w:tr>
      <w:tr w:rsidR="00000141" w:rsidRPr="00ED3820" w14:paraId="7B9FE0CA" w14:textId="77777777" w:rsidTr="00D23413">
        <w:tc>
          <w:tcPr>
            <w:tcW w:w="1101" w:type="dxa"/>
            <w:shd w:val="clear" w:color="auto" w:fill="auto"/>
            <w:tcMar>
              <w:top w:w="85" w:type="dxa"/>
            </w:tcMar>
            <w:vAlign w:val="center"/>
          </w:tcPr>
          <w:p w14:paraId="1B783841" w14:textId="77777777" w:rsidR="00000141" w:rsidRPr="00ED3820" w:rsidRDefault="00000141" w:rsidP="00000141">
            <w:pPr>
              <w:contextualSpacing/>
              <w:rPr>
                <w:rFonts w:ascii="Arial" w:hAnsi="Arial" w:cs="Arial"/>
                <w:sz w:val="20"/>
                <w:szCs w:val="20"/>
              </w:rPr>
            </w:pPr>
            <w:r w:rsidRPr="00ED3820">
              <w:rPr>
                <w:rFonts w:ascii="Arial" w:hAnsi="Arial" w:cs="Arial"/>
                <w:sz w:val="20"/>
                <w:szCs w:val="20"/>
              </w:rPr>
              <w:t>100</w:t>
            </w:r>
          </w:p>
        </w:tc>
        <w:tc>
          <w:tcPr>
            <w:tcW w:w="1215" w:type="dxa"/>
            <w:vAlign w:val="center"/>
          </w:tcPr>
          <w:p w14:paraId="6E12C916" w14:textId="77777777" w:rsidR="00000141" w:rsidRPr="00CA25FB" w:rsidRDefault="00000141" w:rsidP="00000141">
            <w:pPr>
              <w:contextualSpacing/>
              <w:rPr>
                <w:rFonts w:ascii="Arial" w:hAnsi="Arial" w:cs="Arial"/>
                <w:sz w:val="20"/>
                <w:szCs w:val="20"/>
              </w:rPr>
            </w:pPr>
            <w:r w:rsidRPr="00CA25FB">
              <w:rPr>
                <w:rFonts w:ascii="Arial" w:hAnsi="Arial" w:cs="Arial"/>
                <w:sz w:val="20"/>
                <w:szCs w:val="20"/>
              </w:rPr>
              <w:t>1.4.</w:t>
            </w:r>
          </w:p>
        </w:tc>
        <w:tc>
          <w:tcPr>
            <w:tcW w:w="3349" w:type="dxa"/>
            <w:shd w:val="clear" w:color="auto" w:fill="auto"/>
            <w:tcMar>
              <w:top w:w="85" w:type="dxa"/>
            </w:tcMar>
            <w:vAlign w:val="center"/>
          </w:tcPr>
          <w:p w14:paraId="61B94907" w14:textId="6831783E" w:rsidR="00000141" w:rsidRPr="00ED3820" w:rsidRDefault="00000141" w:rsidP="00637D24">
            <w:pPr>
              <w:contextualSpacing/>
              <w:jc w:val="both"/>
              <w:rPr>
                <w:rFonts w:ascii="Arial" w:hAnsi="Arial" w:cs="Arial"/>
                <w:sz w:val="20"/>
                <w:szCs w:val="20"/>
              </w:rPr>
            </w:pPr>
            <w:r w:rsidRPr="00ED2630">
              <w:rPr>
                <w:rFonts w:ascii="Arial" w:hAnsi="Arial" w:cs="Arial"/>
                <w:sz w:val="20"/>
                <w:szCs w:val="20"/>
              </w:rPr>
              <w:t xml:space="preserve">Nem pénzügyi </w:t>
            </w:r>
            <w:r w:rsidRPr="00ED3820">
              <w:rPr>
                <w:rFonts w:ascii="Arial" w:hAnsi="Arial" w:cs="Arial"/>
                <w:sz w:val="20"/>
                <w:szCs w:val="20"/>
              </w:rPr>
              <w:t xml:space="preserve">vállalatoknak nyújtott hitelek </w:t>
            </w:r>
            <w:r w:rsidR="000B0CEA" w:rsidRPr="00ED3820">
              <w:rPr>
                <w:rFonts w:ascii="Arial" w:hAnsi="Arial" w:cs="Arial"/>
                <w:sz w:val="20"/>
                <w:szCs w:val="20"/>
              </w:rPr>
              <w:t xml:space="preserve">és előlegek </w:t>
            </w:r>
            <w:r w:rsidRPr="00ED3820">
              <w:rPr>
                <w:rFonts w:ascii="Arial" w:hAnsi="Arial" w:cs="Arial"/>
                <w:sz w:val="20"/>
                <w:szCs w:val="20"/>
              </w:rPr>
              <w:t>(</w:t>
            </w:r>
            <w:r w:rsidR="000B0CEA" w:rsidRPr="00ED3820">
              <w:rPr>
                <w:rFonts w:ascii="Arial" w:hAnsi="Arial" w:cs="Arial"/>
                <w:sz w:val="20"/>
                <w:szCs w:val="20"/>
              </w:rPr>
              <w:t>visszavásárlási hitel</w:t>
            </w:r>
            <w:r w:rsidR="006B36F4">
              <w:rPr>
                <w:rFonts w:ascii="Arial" w:hAnsi="Arial" w:cs="Arial"/>
                <w:sz w:val="20"/>
                <w:szCs w:val="20"/>
              </w:rPr>
              <w:t>ek</w:t>
            </w:r>
            <w:r w:rsidR="000B0CEA" w:rsidRPr="00ED3820">
              <w:rPr>
                <w:rFonts w:ascii="Arial" w:hAnsi="Arial" w:cs="Arial"/>
                <w:sz w:val="20"/>
                <w:szCs w:val="20"/>
              </w:rPr>
              <w:t xml:space="preserve"> kivételével</w:t>
            </w:r>
            <w:r w:rsidRPr="00ED3820">
              <w:rPr>
                <w:rFonts w:ascii="Arial" w:hAnsi="Arial" w:cs="Arial"/>
                <w:sz w:val="20"/>
                <w:szCs w:val="20"/>
              </w:rPr>
              <w:t>)</w:t>
            </w:r>
          </w:p>
        </w:tc>
        <w:tc>
          <w:tcPr>
            <w:tcW w:w="3686" w:type="dxa"/>
            <w:shd w:val="clear" w:color="auto" w:fill="auto"/>
            <w:tcMar>
              <w:top w:w="85" w:type="dxa"/>
            </w:tcMar>
            <w:vAlign w:val="center"/>
          </w:tcPr>
          <w:p w14:paraId="1C336B16" w14:textId="09C71C42" w:rsidR="00000141" w:rsidRPr="00ED3820" w:rsidRDefault="00297FB8" w:rsidP="00000141">
            <w:pPr>
              <w:contextualSpacing/>
              <w:jc w:val="both"/>
              <w:rPr>
                <w:rFonts w:ascii="Arial" w:hAnsi="Arial" w:cs="Arial"/>
                <w:sz w:val="20"/>
                <w:szCs w:val="20"/>
              </w:rPr>
            </w:pPr>
            <w:r>
              <w:rPr>
                <w:rFonts w:ascii="Arial" w:hAnsi="Arial" w:cs="Arial"/>
                <w:sz w:val="20"/>
                <w:szCs w:val="20"/>
              </w:rPr>
              <w:t>(EU) 2021/451</w:t>
            </w:r>
            <w:r w:rsidR="00000141" w:rsidRPr="00ED3820">
              <w:rPr>
                <w:rFonts w:ascii="Arial" w:hAnsi="Arial" w:cs="Arial"/>
                <w:sz w:val="20"/>
                <w:szCs w:val="20"/>
              </w:rPr>
              <w:t xml:space="preserve"> bizottsági végrehajtási rendelet </w:t>
            </w:r>
            <w:r w:rsidR="001B3265" w:rsidRPr="00ED3820">
              <w:rPr>
                <w:rFonts w:ascii="Arial" w:hAnsi="Arial" w:cs="Arial"/>
                <w:sz w:val="20"/>
                <w:szCs w:val="20"/>
              </w:rPr>
              <w:t>III.</w:t>
            </w:r>
            <w:r w:rsidR="00000141" w:rsidRPr="00ED3820">
              <w:rPr>
                <w:rFonts w:ascii="Arial" w:hAnsi="Arial" w:cs="Arial"/>
                <w:sz w:val="20"/>
                <w:szCs w:val="20"/>
              </w:rPr>
              <w:t xml:space="preserve"> melléklet F 05.01 tábla, </w:t>
            </w:r>
            <w:r w:rsidR="00FE38A5">
              <w:rPr>
                <w:rFonts w:ascii="Arial" w:hAnsi="Arial" w:cs="Arial"/>
                <w:sz w:val="20"/>
                <w:szCs w:val="20"/>
              </w:rPr>
              <w:t>0</w:t>
            </w:r>
            <w:r w:rsidR="00000141" w:rsidRPr="00ED3820">
              <w:rPr>
                <w:rFonts w:ascii="Arial" w:hAnsi="Arial" w:cs="Arial"/>
                <w:sz w:val="20"/>
                <w:szCs w:val="20"/>
              </w:rPr>
              <w:t xml:space="preserve">080. sor csökkentve a </w:t>
            </w:r>
            <w:r w:rsidR="00FE38A5">
              <w:rPr>
                <w:rFonts w:ascii="Arial" w:hAnsi="Arial" w:cs="Arial"/>
                <w:sz w:val="20"/>
                <w:szCs w:val="20"/>
              </w:rPr>
              <w:t>0</w:t>
            </w:r>
            <w:r w:rsidR="00000141" w:rsidRPr="00ED3820">
              <w:rPr>
                <w:rFonts w:ascii="Arial" w:hAnsi="Arial" w:cs="Arial"/>
                <w:sz w:val="20"/>
                <w:szCs w:val="20"/>
              </w:rPr>
              <w:t xml:space="preserve">050. sorral, </w:t>
            </w:r>
            <w:r w:rsidR="00FE38A5">
              <w:rPr>
                <w:rFonts w:ascii="Arial" w:hAnsi="Arial" w:cs="Arial"/>
                <w:sz w:val="20"/>
                <w:szCs w:val="20"/>
              </w:rPr>
              <w:t>0</w:t>
            </w:r>
            <w:r w:rsidR="00000141" w:rsidRPr="00ED3820">
              <w:rPr>
                <w:rFonts w:ascii="Arial" w:hAnsi="Arial" w:cs="Arial"/>
                <w:sz w:val="20"/>
                <w:szCs w:val="20"/>
              </w:rPr>
              <w:t xml:space="preserve">050. oszlop. </w:t>
            </w:r>
          </w:p>
        </w:tc>
      </w:tr>
      <w:tr w:rsidR="00634364" w:rsidRPr="00ED3820" w14:paraId="2BC83640" w14:textId="77777777" w:rsidTr="00D23413">
        <w:trPr>
          <w:trHeight w:val="737"/>
        </w:trPr>
        <w:tc>
          <w:tcPr>
            <w:tcW w:w="1101" w:type="dxa"/>
            <w:shd w:val="clear" w:color="auto" w:fill="auto"/>
            <w:tcMar>
              <w:top w:w="85" w:type="dxa"/>
            </w:tcMar>
            <w:vAlign w:val="center"/>
          </w:tcPr>
          <w:p w14:paraId="0B13DB17" w14:textId="7F3C4E40" w:rsidR="00634364" w:rsidRPr="00ED3820" w:rsidRDefault="00634364" w:rsidP="00000141">
            <w:pPr>
              <w:contextualSpacing/>
              <w:rPr>
                <w:rFonts w:ascii="Arial" w:hAnsi="Arial" w:cs="Arial"/>
                <w:sz w:val="20"/>
                <w:szCs w:val="20"/>
              </w:rPr>
            </w:pPr>
            <w:r w:rsidRPr="00ED3820">
              <w:rPr>
                <w:rFonts w:ascii="Arial" w:hAnsi="Arial" w:cs="Arial"/>
                <w:sz w:val="20"/>
                <w:szCs w:val="20"/>
              </w:rPr>
              <w:t>105</w:t>
            </w:r>
          </w:p>
        </w:tc>
        <w:tc>
          <w:tcPr>
            <w:tcW w:w="1215" w:type="dxa"/>
            <w:vAlign w:val="center"/>
          </w:tcPr>
          <w:p w14:paraId="13C8A6F9" w14:textId="416372A5" w:rsidR="00634364" w:rsidRPr="00CA25FB" w:rsidRDefault="00634364" w:rsidP="00000141">
            <w:pPr>
              <w:contextualSpacing/>
              <w:rPr>
                <w:rFonts w:ascii="Arial" w:hAnsi="Arial" w:cs="Arial"/>
                <w:sz w:val="20"/>
                <w:szCs w:val="20"/>
              </w:rPr>
            </w:pPr>
            <w:r w:rsidRPr="00CA25FB">
              <w:rPr>
                <w:rFonts w:ascii="Arial" w:hAnsi="Arial" w:cs="Arial"/>
                <w:sz w:val="20"/>
                <w:szCs w:val="20"/>
              </w:rPr>
              <w:t>1.4.*</w:t>
            </w:r>
          </w:p>
        </w:tc>
        <w:tc>
          <w:tcPr>
            <w:tcW w:w="3349" w:type="dxa"/>
            <w:shd w:val="clear" w:color="auto" w:fill="auto"/>
            <w:tcMar>
              <w:top w:w="85" w:type="dxa"/>
            </w:tcMar>
            <w:vAlign w:val="center"/>
          </w:tcPr>
          <w:p w14:paraId="13BA58FB" w14:textId="4D3D0ACA" w:rsidR="00634364" w:rsidRPr="00ED2630" w:rsidRDefault="00634364" w:rsidP="00637D24">
            <w:pPr>
              <w:contextualSpacing/>
              <w:jc w:val="both"/>
              <w:rPr>
                <w:rFonts w:ascii="Arial" w:hAnsi="Arial" w:cs="Arial"/>
                <w:sz w:val="20"/>
                <w:szCs w:val="20"/>
              </w:rPr>
            </w:pPr>
            <w:r w:rsidRPr="00ED2630">
              <w:rPr>
                <w:rFonts w:ascii="Arial" w:hAnsi="Arial" w:cs="Arial"/>
                <w:sz w:val="20"/>
                <w:szCs w:val="20"/>
              </w:rPr>
              <w:t>1.4</w:t>
            </w:r>
            <w:r w:rsidR="00A72D10">
              <w:rPr>
                <w:rFonts w:ascii="Arial" w:hAnsi="Arial" w:cs="Arial"/>
                <w:sz w:val="20"/>
                <w:szCs w:val="20"/>
              </w:rPr>
              <w:t>.</w:t>
            </w:r>
            <w:r w:rsidRPr="00ED2630">
              <w:rPr>
                <w:rFonts w:ascii="Arial" w:hAnsi="Arial" w:cs="Arial"/>
                <w:sz w:val="20"/>
                <w:szCs w:val="20"/>
              </w:rPr>
              <w:t>-ből</w:t>
            </w:r>
            <w:r w:rsidR="00F0666B">
              <w:rPr>
                <w:rFonts w:ascii="Arial" w:hAnsi="Arial" w:cs="Arial"/>
                <w:sz w:val="20"/>
                <w:szCs w:val="20"/>
              </w:rPr>
              <w:t>:</w:t>
            </w:r>
            <w:r w:rsidRPr="00ED2630">
              <w:rPr>
                <w:rFonts w:ascii="Arial" w:hAnsi="Arial" w:cs="Arial"/>
                <w:sz w:val="20"/>
                <w:szCs w:val="20"/>
              </w:rPr>
              <w:t xml:space="preserve"> nem teljesítő</w:t>
            </w:r>
          </w:p>
        </w:tc>
        <w:tc>
          <w:tcPr>
            <w:tcW w:w="3686" w:type="dxa"/>
            <w:shd w:val="clear" w:color="auto" w:fill="auto"/>
            <w:tcMar>
              <w:top w:w="85" w:type="dxa"/>
            </w:tcMar>
            <w:vAlign w:val="center"/>
          </w:tcPr>
          <w:p w14:paraId="6EF44356" w14:textId="55BF0A7E" w:rsidR="00634364" w:rsidRPr="00ED3820" w:rsidRDefault="00414B65" w:rsidP="00485785">
            <w:pPr>
              <w:contextualSpacing/>
              <w:jc w:val="both"/>
              <w:rPr>
                <w:rFonts w:ascii="Arial" w:hAnsi="Arial" w:cs="Arial"/>
                <w:sz w:val="20"/>
                <w:szCs w:val="20"/>
              </w:rPr>
            </w:pPr>
            <w:r>
              <w:rPr>
                <w:rFonts w:ascii="Arial" w:hAnsi="Arial" w:cs="Arial"/>
                <w:sz w:val="20"/>
                <w:szCs w:val="20"/>
              </w:rPr>
              <w:t>A</w:t>
            </w:r>
            <w:r w:rsidR="00634364" w:rsidRPr="004355AA">
              <w:rPr>
                <w:rFonts w:ascii="Arial" w:hAnsi="Arial" w:cs="Arial"/>
                <w:sz w:val="20"/>
                <w:szCs w:val="20"/>
              </w:rPr>
              <w:t xml:space="preserve"> 39/2016. (X.11.) MNB rendelet alapján nem teljesítőnek minősülő kitettség</w:t>
            </w:r>
            <w:r w:rsidR="00225B54">
              <w:rPr>
                <w:rFonts w:ascii="Arial" w:hAnsi="Arial" w:cs="Arial"/>
                <w:sz w:val="20"/>
                <w:szCs w:val="20"/>
              </w:rPr>
              <w:t>.</w:t>
            </w:r>
          </w:p>
        </w:tc>
      </w:tr>
      <w:tr w:rsidR="00000141" w:rsidRPr="00ED3820" w14:paraId="2CFB7467" w14:textId="77777777" w:rsidTr="00D23413">
        <w:tc>
          <w:tcPr>
            <w:tcW w:w="1101" w:type="dxa"/>
            <w:shd w:val="clear" w:color="auto" w:fill="auto"/>
            <w:tcMar>
              <w:top w:w="85" w:type="dxa"/>
            </w:tcMar>
            <w:vAlign w:val="center"/>
          </w:tcPr>
          <w:p w14:paraId="3F7F8F42" w14:textId="77777777" w:rsidR="00000141" w:rsidRPr="00ED3820" w:rsidRDefault="00000141" w:rsidP="00000141">
            <w:pPr>
              <w:contextualSpacing/>
              <w:rPr>
                <w:rFonts w:ascii="Arial" w:hAnsi="Arial" w:cs="Arial"/>
                <w:sz w:val="20"/>
                <w:szCs w:val="20"/>
              </w:rPr>
            </w:pPr>
            <w:r w:rsidRPr="00ED3820">
              <w:rPr>
                <w:rFonts w:ascii="Arial" w:hAnsi="Arial" w:cs="Arial"/>
                <w:sz w:val="20"/>
                <w:szCs w:val="20"/>
              </w:rPr>
              <w:t>110</w:t>
            </w:r>
          </w:p>
        </w:tc>
        <w:tc>
          <w:tcPr>
            <w:tcW w:w="1215" w:type="dxa"/>
            <w:vAlign w:val="center"/>
          </w:tcPr>
          <w:p w14:paraId="1BA7A3C8" w14:textId="77777777" w:rsidR="00000141" w:rsidRPr="00ED2630" w:rsidRDefault="00000141" w:rsidP="00000141">
            <w:pPr>
              <w:contextualSpacing/>
              <w:rPr>
                <w:rFonts w:ascii="Arial" w:hAnsi="Arial" w:cs="Arial"/>
                <w:sz w:val="20"/>
                <w:szCs w:val="20"/>
              </w:rPr>
            </w:pPr>
            <w:r w:rsidRPr="00CA25FB">
              <w:rPr>
                <w:rFonts w:ascii="Arial" w:hAnsi="Arial" w:cs="Arial"/>
                <w:sz w:val="20"/>
                <w:szCs w:val="20"/>
              </w:rPr>
              <w:t>1.4.1.</w:t>
            </w:r>
          </w:p>
        </w:tc>
        <w:tc>
          <w:tcPr>
            <w:tcW w:w="3349" w:type="dxa"/>
            <w:shd w:val="clear" w:color="auto" w:fill="auto"/>
            <w:tcMar>
              <w:top w:w="85" w:type="dxa"/>
            </w:tcMar>
            <w:vAlign w:val="center"/>
          </w:tcPr>
          <w:p w14:paraId="0942EA1B" w14:textId="4157F8E9" w:rsidR="00000141" w:rsidRPr="00ED2630" w:rsidRDefault="00000141" w:rsidP="00637D24">
            <w:pPr>
              <w:contextualSpacing/>
              <w:jc w:val="both"/>
              <w:rPr>
                <w:rFonts w:ascii="Arial" w:hAnsi="Arial" w:cs="Arial"/>
                <w:sz w:val="20"/>
                <w:szCs w:val="20"/>
              </w:rPr>
            </w:pPr>
            <w:r w:rsidRPr="00ED2630">
              <w:rPr>
                <w:rFonts w:ascii="Arial" w:hAnsi="Arial" w:cs="Arial"/>
                <w:sz w:val="20"/>
                <w:szCs w:val="20"/>
              </w:rPr>
              <w:t>1.4.-ből: Hazai tevékenység</w:t>
            </w:r>
            <w:r w:rsidR="00294DF4" w:rsidRPr="00ED2630">
              <w:rPr>
                <w:rFonts w:ascii="Arial" w:hAnsi="Arial" w:cs="Arial"/>
                <w:sz w:val="20"/>
                <w:szCs w:val="20"/>
              </w:rPr>
              <w:t>ek</w:t>
            </w:r>
          </w:p>
        </w:tc>
        <w:tc>
          <w:tcPr>
            <w:tcW w:w="3686" w:type="dxa"/>
            <w:shd w:val="clear" w:color="auto" w:fill="auto"/>
            <w:tcMar>
              <w:top w:w="85" w:type="dxa"/>
            </w:tcMar>
            <w:vAlign w:val="center"/>
          </w:tcPr>
          <w:p w14:paraId="671BB4FE" w14:textId="5E818204" w:rsidR="00000141" w:rsidRPr="006E162A" w:rsidRDefault="00297FB8" w:rsidP="00485785">
            <w:pPr>
              <w:contextualSpacing/>
              <w:jc w:val="both"/>
              <w:rPr>
                <w:rFonts w:ascii="Arial" w:hAnsi="Arial" w:cs="Arial"/>
                <w:sz w:val="20"/>
                <w:szCs w:val="20"/>
              </w:rPr>
            </w:pPr>
            <w:r>
              <w:rPr>
                <w:rFonts w:ascii="Arial" w:hAnsi="Arial" w:cs="Arial"/>
                <w:sz w:val="20"/>
                <w:szCs w:val="20"/>
              </w:rPr>
              <w:t>(EU) 2021/451</w:t>
            </w:r>
            <w:r w:rsidR="00000141" w:rsidRPr="00ED2630">
              <w:rPr>
                <w:rFonts w:ascii="Arial" w:hAnsi="Arial" w:cs="Arial"/>
                <w:sz w:val="20"/>
                <w:szCs w:val="20"/>
              </w:rPr>
              <w:t xml:space="preserve"> bizottsági végrehajtási rendelet V. melléklet 2. rész 270. pont</w:t>
            </w:r>
          </w:p>
        </w:tc>
      </w:tr>
      <w:tr w:rsidR="00C147C0" w:rsidRPr="00ED3820" w14:paraId="3836324A" w14:textId="77777777" w:rsidTr="00D23413">
        <w:trPr>
          <w:trHeight w:val="492"/>
        </w:trPr>
        <w:tc>
          <w:tcPr>
            <w:tcW w:w="1101" w:type="dxa"/>
            <w:shd w:val="clear" w:color="auto" w:fill="auto"/>
            <w:tcMar>
              <w:top w:w="85" w:type="dxa"/>
            </w:tcMar>
            <w:vAlign w:val="center"/>
          </w:tcPr>
          <w:p w14:paraId="1A9B4529" w14:textId="5293DAC6" w:rsidR="00C147C0" w:rsidRPr="00ED3820" w:rsidRDefault="00C147C0" w:rsidP="00C147C0">
            <w:pPr>
              <w:contextualSpacing/>
              <w:rPr>
                <w:rFonts w:ascii="Arial" w:hAnsi="Arial" w:cs="Arial"/>
                <w:sz w:val="20"/>
                <w:szCs w:val="20"/>
              </w:rPr>
            </w:pPr>
            <w:r w:rsidRPr="00ED3820">
              <w:rPr>
                <w:rFonts w:ascii="Arial" w:hAnsi="Arial" w:cs="Arial"/>
                <w:sz w:val="20"/>
                <w:szCs w:val="20"/>
              </w:rPr>
              <w:t>111</w:t>
            </w:r>
          </w:p>
        </w:tc>
        <w:tc>
          <w:tcPr>
            <w:tcW w:w="1215" w:type="dxa"/>
            <w:vAlign w:val="center"/>
          </w:tcPr>
          <w:p w14:paraId="51B8F522" w14:textId="3A6462BB" w:rsidR="00C147C0" w:rsidRPr="00ED2630" w:rsidRDefault="00C147C0" w:rsidP="00C147C0">
            <w:pPr>
              <w:contextualSpacing/>
              <w:rPr>
                <w:rFonts w:ascii="Arial" w:hAnsi="Arial" w:cs="Arial"/>
                <w:sz w:val="20"/>
                <w:szCs w:val="20"/>
              </w:rPr>
            </w:pPr>
            <w:r w:rsidRPr="00CA25FB">
              <w:rPr>
                <w:rFonts w:ascii="Arial" w:hAnsi="Arial" w:cs="Arial"/>
                <w:sz w:val="20"/>
                <w:szCs w:val="20"/>
              </w:rPr>
              <w:t>1.4.1.*</w:t>
            </w:r>
          </w:p>
        </w:tc>
        <w:tc>
          <w:tcPr>
            <w:tcW w:w="3349" w:type="dxa"/>
            <w:shd w:val="clear" w:color="auto" w:fill="auto"/>
            <w:tcMar>
              <w:top w:w="85" w:type="dxa"/>
            </w:tcMar>
            <w:vAlign w:val="center"/>
          </w:tcPr>
          <w:p w14:paraId="3FA0FEE1" w14:textId="44B2BABF" w:rsidR="00C147C0" w:rsidRPr="00ED2630" w:rsidRDefault="00C147C0" w:rsidP="00637D24">
            <w:pPr>
              <w:contextualSpacing/>
              <w:jc w:val="both"/>
              <w:rPr>
                <w:rFonts w:ascii="Arial" w:hAnsi="Arial" w:cs="Arial"/>
                <w:sz w:val="20"/>
                <w:szCs w:val="20"/>
              </w:rPr>
            </w:pPr>
            <w:r w:rsidRPr="00ED2630">
              <w:rPr>
                <w:rFonts w:ascii="Arial" w:hAnsi="Arial" w:cs="Arial"/>
                <w:sz w:val="20"/>
                <w:szCs w:val="20"/>
              </w:rPr>
              <w:t xml:space="preserve">Halmozott értékvesztés és hitelkockázatból származó negatív valósérték-változások halmozott összege </w:t>
            </w:r>
            <w:r w:rsidR="00450FEC">
              <w:rPr>
                <w:rFonts w:ascii="Arial" w:hAnsi="Arial" w:cs="Arial"/>
                <w:sz w:val="20"/>
                <w:szCs w:val="20"/>
              </w:rPr>
              <w:t>–</w:t>
            </w:r>
            <w:r w:rsidRPr="00ED2630">
              <w:rPr>
                <w:rFonts w:ascii="Arial" w:hAnsi="Arial" w:cs="Arial"/>
                <w:sz w:val="20"/>
                <w:szCs w:val="20"/>
              </w:rPr>
              <w:t xml:space="preserve"> hazai (tájékoztató adat)</w:t>
            </w:r>
          </w:p>
        </w:tc>
        <w:tc>
          <w:tcPr>
            <w:tcW w:w="3686" w:type="dxa"/>
            <w:shd w:val="clear" w:color="auto" w:fill="auto"/>
            <w:tcMar>
              <w:top w:w="85" w:type="dxa"/>
            </w:tcMar>
            <w:vAlign w:val="center"/>
          </w:tcPr>
          <w:p w14:paraId="1E5EDC4D" w14:textId="6DD3C17D" w:rsidR="00C147C0" w:rsidRPr="00ED3820" w:rsidRDefault="00297FB8" w:rsidP="00883E29">
            <w:pPr>
              <w:pStyle w:val="Default"/>
              <w:jc w:val="both"/>
              <w:rPr>
                <w:rFonts w:ascii="Arial" w:hAnsi="Arial" w:cs="Arial"/>
                <w:sz w:val="20"/>
                <w:szCs w:val="20"/>
              </w:rPr>
            </w:pPr>
            <w:r>
              <w:rPr>
                <w:rFonts w:ascii="Arial" w:hAnsi="Arial" w:cs="Arial"/>
                <w:sz w:val="20"/>
                <w:szCs w:val="20"/>
              </w:rPr>
              <w:t>(EU) 2021/451</w:t>
            </w:r>
            <w:r w:rsidRPr="00ED2630">
              <w:rPr>
                <w:rFonts w:ascii="Arial" w:hAnsi="Arial" w:cs="Arial"/>
                <w:sz w:val="20"/>
                <w:szCs w:val="20"/>
              </w:rPr>
              <w:t xml:space="preserve"> </w:t>
            </w:r>
            <w:r w:rsidR="00833C68">
              <w:rPr>
                <w:rFonts w:ascii="Arial" w:hAnsi="Arial" w:cs="Arial"/>
                <w:sz w:val="20"/>
                <w:szCs w:val="20"/>
              </w:rPr>
              <w:t xml:space="preserve">bizottsági végrehajtási </w:t>
            </w:r>
            <w:r w:rsidR="00833C68" w:rsidRPr="004355AA">
              <w:rPr>
                <w:rFonts w:ascii="Arial" w:hAnsi="Arial" w:cs="Arial"/>
                <w:sz w:val="20"/>
                <w:szCs w:val="20"/>
              </w:rPr>
              <w:t>rendelet V. melléklet 2. rész 69</w:t>
            </w:r>
            <w:r w:rsidR="001A324B">
              <w:rPr>
                <w:rFonts w:ascii="Arial" w:hAnsi="Arial" w:cs="Arial"/>
                <w:sz w:val="20"/>
                <w:szCs w:val="20"/>
              </w:rPr>
              <w:t>-</w:t>
            </w:r>
            <w:r w:rsidR="00833C68" w:rsidRPr="004355AA">
              <w:rPr>
                <w:rFonts w:ascii="Arial" w:hAnsi="Arial" w:cs="Arial"/>
                <w:sz w:val="20"/>
                <w:szCs w:val="20"/>
              </w:rPr>
              <w:t>71.</w:t>
            </w:r>
            <w:r w:rsidR="00833C68">
              <w:rPr>
                <w:rFonts w:ascii="Arial" w:hAnsi="Arial" w:cs="Arial"/>
                <w:sz w:val="20"/>
                <w:szCs w:val="20"/>
              </w:rPr>
              <w:t xml:space="preserve"> pont </w:t>
            </w:r>
          </w:p>
        </w:tc>
      </w:tr>
      <w:tr w:rsidR="00C147C0" w:rsidRPr="00ED3820" w14:paraId="3C58696F" w14:textId="77777777" w:rsidTr="00D23413">
        <w:tc>
          <w:tcPr>
            <w:tcW w:w="1101" w:type="dxa"/>
            <w:shd w:val="clear" w:color="auto" w:fill="auto"/>
            <w:tcMar>
              <w:top w:w="85" w:type="dxa"/>
            </w:tcMar>
            <w:vAlign w:val="center"/>
          </w:tcPr>
          <w:p w14:paraId="0B04540A" w14:textId="77777777" w:rsidR="00C147C0" w:rsidRPr="00ED3820" w:rsidRDefault="00C147C0" w:rsidP="00C147C0">
            <w:pPr>
              <w:contextualSpacing/>
              <w:rPr>
                <w:rFonts w:ascii="Arial" w:hAnsi="Arial" w:cs="Arial"/>
                <w:sz w:val="20"/>
                <w:szCs w:val="20"/>
              </w:rPr>
            </w:pPr>
            <w:r w:rsidRPr="00ED3820">
              <w:rPr>
                <w:rFonts w:ascii="Arial" w:hAnsi="Arial" w:cs="Arial"/>
                <w:sz w:val="20"/>
                <w:szCs w:val="20"/>
              </w:rPr>
              <w:t>150</w:t>
            </w:r>
          </w:p>
        </w:tc>
        <w:tc>
          <w:tcPr>
            <w:tcW w:w="1215" w:type="dxa"/>
            <w:vAlign w:val="center"/>
          </w:tcPr>
          <w:p w14:paraId="4018A92C" w14:textId="77777777" w:rsidR="00C147C0" w:rsidRPr="00ED2630" w:rsidRDefault="00C147C0" w:rsidP="00C147C0">
            <w:pPr>
              <w:contextualSpacing/>
              <w:rPr>
                <w:rFonts w:ascii="Arial" w:hAnsi="Arial" w:cs="Arial"/>
                <w:sz w:val="20"/>
                <w:szCs w:val="20"/>
              </w:rPr>
            </w:pPr>
            <w:r w:rsidRPr="00CA25FB">
              <w:rPr>
                <w:rFonts w:ascii="Arial" w:hAnsi="Arial" w:cs="Arial"/>
                <w:sz w:val="20"/>
                <w:szCs w:val="20"/>
              </w:rPr>
              <w:t>1.4.1.2</w:t>
            </w:r>
            <w:r w:rsidRPr="00ED2630">
              <w:rPr>
                <w:rFonts w:ascii="Arial" w:hAnsi="Arial" w:cs="Arial"/>
                <w:sz w:val="20"/>
                <w:szCs w:val="20"/>
              </w:rPr>
              <w:t>.</w:t>
            </w:r>
          </w:p>
        </w:tc>
        <w:tc>
          <w:tcPr>
            <w:tcW w:w="3349" w:type="dxa"/>
            <w:shd w:val="clear" w:color="auto" w:fill="auto"/>
            <w:tcMar>
              <w:top w:w="85" w:type="dxa"/>
            </w:tcMar>
            <w:vAlign w:val="center"/>
          </w:tcPr>
          <w:p w14:paraId="0D1ED6E7" w14:textId="72B20A47" w:rsidR="00C147C0" w:rsidRPr="00ED3820" w:rsidRDefault="00E72A2B" w:rsidP="00637D24">
            <w:pPr>
              <w:contextualSpacing/>
              <w:jc w:val="both"/>
              <w:rPr>
                <w:rFonts w:ascii="Arial" w:hAnsi="Arial" w:cs="Arial"/>
                <w:sz w:val="20"/>
                <w:szCs w:val="20"/>
              </w:rPr>
            </w:pPr>
            <w:r w:rsidRPr="00ED3820">
              <w:rPr>
                <w:rFonts w:ascii="Arial" w:hAnsi="Arial" w:cs="Arial"/>
                <w:sz w:val="20"/>
                <w:szCs w:val="20"/>
              </w:rPr>
              <w:t>Nem pénzügyi vállalatok, KKV- k kivételével</w:t>
            </w:r>
          </w:p>
        </w:tc>
        <w:tc>
          <w:tcPr>
            <w:tcW w:w="3686" w:type="dxa"/>
            <w:shd w:val="clear" w:color="auto" w:fill="auto"/>
            <w:tcMar>
              <w:top w:w="85" w:type="dxa"/>
            </w:tcMar>
            <w:vAlign w:val="center"/>
          </w:tcPr>
          <w:p w14:paraId="73270E31" w14:textId="77777777" w:rsidR="00C147C0" w:rsidRPr="00ED3820" w:rsidRDefault="00C147C0" w:rsidP="00C147C0">
            <w:pPr>
              <w:contextualSpacing/>
              <w:rPr>
                <w:rFonts w:ascii="Arial" w:hAnsi="Arial" w:cs="Arial"/>
                <w:sz w:val="20"/>
                <w:szCs w:val="20"/>
              </w:rPr>
            </w:pPr>
            <w:r w:rsidRPr="00ED3820">
              <w:rPr>
                <w:rFonts w:ascii="Arial" w:hAnsi="Arial" w:cs="Arial"/>
                <w:sz w:val="20"/>
                <w:szCs w:val="20"/>
              </w:rPr>
              <w:t>150 = 110 - 140</w:t>
            </w:r>
          </w:p>
        </w:tc>
      </w:tr>
      <w:tr w:rsidR="00E72A2B" w:rsidRPr="00ED3820" w14:paraId="624660BD" w14:textId="77777777" w:rsidTr="00D23413">
        <w:tc>
          <w:tcPr>
            <w:tcW w:w="1101" w:type="dxa"/>
            <w:shd w:val="clear" w:color="auto" w:fill="auto"/>
            <w:tcMar>
              <w:top w:w="85" w:type="dxa"/>
            </w:tcMar>
            <w:vAlign w:val="center"/>
          </w:tcPr>
          <w:p w14:paraId="527CB13C" w14:textId="117C0B3A" w:rsidR="00E72A2B" w:rsidRPr="00ED3820" w:rsidRDefault="00E72A2B" w:rsidP="00C147C0">
            <w:pPr>
              <w:contextualSpacing/>
              <w:rPr>
                <w:rFonts w:ascii="Arial" w:hAnsi="Arial" w:cs="Arial"/>
                <w:sz w:val="20"/>
                <w:szCs w:val="20"/>
              </w:rPr>
            </w:pPr>
            <w:r w:rsidRPr="00ED3820">
              <w:rPr>
                <w:rFonts w:ascii="Arial" w:hAnsi="Arial" w:cs="Arial"/>
                <w:sz w:val="20"/>
                <w:szCs w:val="20"/>
              </w:rPr>
              <w:t>162</w:t>
            </w:r>
          </w:p>
        </w:tc>
        <w:tc>
          <w:tcPr>
            <w:tcW w:w="1215" w:type="dxa"/>
            <w:vAlign w:val="center"/>
          </w:tcPr>
          <w:p w14:paraId="14A83E7D" w14:textId="1EF39162" w:rsidR="00E72A2B" w:rsidRPr="00ED2630" w:rsidRDefault="00E72A2B" w:rsidP="00C147C0">
            <w:pPr>
              <w:contextualSpacing/>
              <w:rPr>
                <w:rFonts w:ascii="Arial" w:hAnsi="Arial" w:cs="Arial"/>
                <w:sz w:val="20"/>
                <w:szCs w:val="20"/>
              </w:rPr>
            </w:pPr>
            <w:r w:rsidRPr="00CA25FB">
              <w:rPr>
                <w:rFonts w:ascii="Arial" w:hAnsi="Arial" w:cs="Arial"/>
                <w:sz w:val="20"/>
                <w:szCs w:val="20"/>
              </w:rPr>
              <w:t>1.4.2.*</w:t>
            </w:r>
          </w:p>
        </w:tc>
        <w:tc>
          <w:tcPr>
            <w:tcW w:w="3349" w:type="dxa"/>
            <w:shd w:val="clear" w:color="auto" w:fill="auto"/>
            <w:tcMar>
              <w:top w:w="85" w:type="dxa"/>
            </w:tcMar>
            <w:vAlign w:val="center"/>
          </w:tcPr>
          <w:p w14:paraId="15720646" w14:textId="17B30396" w:rsidR="00E72A2B" w:rsidRPr="00ED2630" w:rsidRDefault="00E72A2B" w:rsidP="00637D24">
            <w:pPr>
              <w:contextualSpacing/>
              <w:jc w:val="both"/>
              <w:rPr>
                <w:rFonts w:ascii="Arial" w:hAnsi="Arial" w:cs="Arial"/>
                <w:sz w:val="20"/>
                <w:szCs w:val="20"/>
              </w:rPr>
            </w:pPr>
            <w:r w:rsidRPr="00ED2630">
              <w:rPr>
                <w:rFonts w:ascii="Arial" w:hAnsi="Arial" w:cs="Arial"/>
                <w:sz w:val="20"/>
                <w:szCs w:val="20"/>
              </w:rPr>
              <w:t xml:space="preserve">Halmozott értékvesztés és hitelkockázatból származó negatív valósérték-változások halmozott összege </w:t>
            </w:r>
            <w:r w:rsidR="00930335">
              <w:rPr>
                <w:rFonts w:ascii="Arial" w:hAnsi="Arial" w:cs="Arial"/>
                <w:sz w:val="20"/>
                <w:szCs w:val="20"/>
              </w:rPr>
              <w:t xml:space="preserve">– </w:t>
            </w:r>
            <w:r w:rsidRPr="00ED2630">
              <w:rPr>
                <w:rFonts w:ascii="Arial" w:hAnsi="Arial" w:cs="Arial"/>
                <w:sz w:val="20"/>
                <w:szCs w:val="20"/>
              </w:rPr>
              <w:t>más EGT</w:t>
            </w:r>
            <w:r w:rsidR="00833C68">
              <w:rPr>
                <w:rFonts w:ascii="Arial" w:hAnsi="Arial" w:cs="Arial"/>
                <w:sz w:val="20"/>
                <w:szCs w:val="20"/>
              </w:rPr>
              <w:t>-államok</w:t>
            </w:r>
            <w:r w:rsidRPr="00ED2630">
              <w:rPr>
                <w:rFonts w:ascii="Arial" w:hAnsi="Arial" w:cs="Arial"/>
                <w:sz w:val="20"/>
                <w:szCs w:val="20"/>
              </w:rPr>
              <w:t xml:space="preserve"> (tájékoztató adat)</w:t>
            </w:r>
          </w:p>
        </w:tc>
        <w:tc>
          <w:tcPr>
            <w:tcW w:w="3686" w:type="dxa"/>
            <w:shd w:val="clear" w:color="auto" w:fill="auto"/>
            <w:tcMar>
              <w:top w:w="85" w:type="dxa"/>
            </w:tcMar>
            <w:vAlign w:val="center"/>
          </w:tcPr>
          <w:p w14:paraId="52675C22" w14:textId="24283FE3" w:rsidR="00E72A2B" w:rsidRPr="00ED3820" w:rsidRDefault="00297FB8" w:rsidP="00883E29">
            <w:pPr>
              <w:pStyle w:val="Default"/>
              <w:spacing w:before="143" w:after="143"/>
              <w:jc w:val="both"/>
              <w:rPr>
                <w:rFonts w:ascii="Arial" w:hAnsi="Arial" w:cs="Arial"/>
                <w:sz w:val="20"/>
                <w:szCs w:val="20"/>
              </w:rPr>
            </w:pPr>
            <w:r>
              <w:rPr>
                <w:rFonts w:ascii="Arial" w:hAnsi="Arial" w:cs="Arial"/>
                <w:sz w:val="20"/>
                <w:szCs w:val="20"/>
              </w:rPr>
              <w:t>(EU) 2021/451</w:t>
            </w:r>
            <w:r w:rsidRPr="00ED2630">
              <w:rPr>
                <w:rFonts w:ascii="Arial" w:hAnsi="Arial" w:cs="Arial"/>
                <w:sz w:val="20"/>
                <w:szCs w:val="20"/>
              </w:rPr>
              <w:t xml:space="preserve"> </w:t>
            </w:r>
            <w:r w:rsidR="00833C68">
              <w:rPr>
                <w:rFonts w:ascii="Arial" w:hAnsi="Arial" w:cs="Arial"/>
                <w:sz w:val="20"/>
                <w:szCs w:val="20"/>
              </w:rPr>
              <w:t xml:space="preserve">bizottsági végrehajtási </w:t>
            </w:r>
            <w:r w:rsidR="00833C68" w:rsidRPr="004355AA">
              <w:rPr>
                <w:rFonts w:ascii="Arial" w:hAnsi="Arial" w:cs="Arial"/>
                <w:sz w:val="20"/>
                <w:szCs w:val="20"/>
              </w:rPr>
              <w:t>rendelet V. melléklet 2. rész 69</w:t>
            </w:r>
            <w:r w:rsidR="00833C68">
              <w:rPr>
                <w:rFonts w:ascii="Arial" w:hAnsi="Arial" w:cs="Arial"/>
                <w:sz w:val="20"/>
                <w:szCs w:val="20"/>
              </w:rPr>
              <w:t>-</w:t>
            </w:r>
            <w:r w:rsidR="00833C68" w:rsidRPr="004355AA">
              <w:rPr>
                <w:rFonts w:ascii="Arial" w:hAnsi="Arial" w:cs="Arial"/>
                <w:sz w:val="20"/>
                <w:szCs w:val="20"/>
              </w:rPr>
              <w:t xml:space="preserve">71. </w:t>
            </w:r>
            <w:r w:rsidR="00833C68">
              <w:rPr>
                <w:rFonts w:ascii="Arial" w:hAnsi="Arial" w:cs="Arial"/>
                <w:sz w:val="20"/>
                <w:szCs w:val="20"/>
              </w:rPr>
              <w:t>pont</w:t>
            </w:r>
            <w:r w:rsidR="000F0D5D" w:rsidRPr="004355AA">
              <w:rPr>
                <w:rFonts w:ascii="Arial" w:hAnsi="Arial" w:cs="Arial"/>
                <w:sz w:val="20"/>
                <w:szCs w:val="20"/>
              </w:rPr>
              <w:t xml:space="preserve"> </w:t>
            </w:r>
          </w:p>
        </w:tc>
      </w:tr>
      <w:tr w:rsidR="00E72A2B" w:rsidRPr="00ED3820" w14:paraId="1FD24225" w14:textId="77777777" w:rsidTr="00D23413">
        <w:tc>
          <w:tcPr>
            <w:tcW w:w="1101" w:type="dxa"/>
            <w:shd w:val="clear" w:color="auto" w:fill="auto"/>
            <w:tcMar>
              <w:top w:w="85" w:type="dxa"/>
            </w:tcMar>
            <w:vAlign w:val="center"/>
          </w:tcPr>
          <w:p w14:paraId="45709048" w14:textId="0B73F5E6" w:rsidR="00E72A2B" w:rsidRPr="00ED3820" w:rsidRDefault="00500C4A" w:rsidP="00E72A2B">
            <w:pPr>
              <w:contextualSpacing/>
              <w:rPr>
                <w:rFonts w:ascii="Arial" w:hAnsi="Arial" w:cs="Arial"/>
                <w:sz w:val="20"/>
                <w:szCs w:val="20"/>
              </w:rPr>
            </w:pPr>
            <w:r>
              <w:rPr>
                <w:rFonts w:ascii="Arial" w:hAnsi="Arial" w:cs="Arial"/>
                <w:sz w:val="20"/>
                <w:szCs w:val="20"/>
              </w:rPr>
              <w:t>1</w:t>
            </w:r>
            <w:r w:rsidR="00E72A2B" w:rsidRPr="00ED3820">
              <w:rPr>
                <w:rFonts w:ascii="Arial" w:hAnsi="Arial" w:cs="Arial"/>
                <w:sz w:val="20"/>
                <w:szCs w:val="20"/>
              </w:rPr>
              <w:t>64</w:t>
            </w:r>
          </w:p>
        </w:tc>
        <w:tc>
          <w:tcPr>
            <w:tcW w:w="1215" w:type="dxa"/>
            <w:vAlign w:val="center"/>
          </w:tcPr>
          <w:p w14:paraId="0A5BFDD1" w14:textId="2FF4A85B" w:rsidR="00E72A2B" w:rsidRPr="00ED2630" w:rsidRDefault="00E72A2B" w:rsidP="00E72A2B">
            <w:pPr>
              <w:contextualSpacing/>
              <w:rPr>
                <w:rFonts w:ascii="Arial" w:hAnsi="Arial" w:cs="Arial"/>
                <w:sz w:val="20"/>
                <w:szCs w:val="20"/>
              </w:rPr>
            </w:pPr>
            <w:r w:rsidRPr="00CA25FB">
              <w:rPr>
                <w:rFonts w:ascii="Arial" w:hAnsi="Arial" w:cs="Arial"/>
                <w:sz w:val="20"/>
                <w:szCs w:val="20"/>
              </w:rPr>
              <w:t>1.4.2.2.</w:t>
            </w:r>
          </w:p>
        </w:tc>
        <w:tc>
          <w:tcPr>
            <w:tcW w:w="3349" w:type="dxa"/>
            <w:shd w:val="clear" w:color="auto" w:fill="auto"/>
            <w:tcMar>
              <w:top w:w="85" w:type="dxa"/>
            </w:tcMar>
            <w:vAlign w:val="center"/>
          </w:tcPr>
          <w:p w14:paraId="0624DE5F" w14:textId="0FCD8163" w:rsidR="00E72A2B" w:rsidRPr="00ED2630" w:rsidRDefault="00E72A2B" w:rsidP="00637D24">
            <w:pPr>
              <w:contextualSpacing/>
              <w:jc w:val="both"/>
              <w:rPr>
                <w:rFonts w:ascii="Arial" w:hAnsi="Arial" w:cs="Arial"/>
                <w:sz w:val="20"/>
                <w:szCs w:val="20"/>
              </w:rPr>
            </w:pPr>
            <w:r w:rsidRPr="00ED2630">
              <w:rPr>
                <w:rFonts w:ascii="Arial" w:hAnsi="Arial" w:cs="Arial"/>
                <w:sz w:val="20"/>
                <w:szCs w:val="20"/>
              </w:rPr>
              <w:t>Nem pénzügyi vállalatok, KKV- k kivételével</w:t>
            </w:r>
          </w:p>
        </w:tc>
        <w:tc>
          <w:tcPr>
            <w:tcW w:w="3686" w:type="dxa"/>
            <w:shd w:val="clear" w:color="auto" w:fill="auto"/>
            <w:tcMar>
              <w:top w:w="85" w:type="dxa"/>
            </w:tcMar>
            <w:vAlign w:val="center"/>
          </w:tcPr>
          <w:p w14:paraId="4F7392C4" w14:textId="076F2D9E" w:rsidR="00E72A2B" w:rsidRPr="00ED2630" w:rsidRDefault="00D913BB" w:rsidP="00E72A2B">
            <w:pPr>
              <w:contextualSpacing/>
              <w:rPr>
                <w:rFonts w:ascii="Arial" w:hAnsi="Arial" w:cs="Arial"/>
                <w:sz w:val="20"/>
                <w:szCs w:val="20"/>
              </w:rPr>
            </w:pPr>
            <w:r w:rsidRPr="00ED2630">
              <w:rPr>
                <w:rFonts w:ascii="Arial" w:hAnsi="Arial" w:cs="Arial"/>
                <w:sz w:val="20"/>
                <w:szCs w:val="20"/>
              </w:rPr>
              <w:t>164</w:t>
            </w:r>
            <w:r w:rsidR="004355AA">
              <w:rPr>
                <w:rFonts w:ascii="Arial" w:hAnsi="Arial" w:cs="Arial"/>
                <w:sz w:val="20"/>
                <w:szCs w:val="20"/>
              </w:rPr>
              <w:t xml:space="preserve"> </w:t>
            </w:r>
            <w:r w:rsidRPr="00ED2630">
              <w:rPr>
                <w:rFonts w:ascii="Arial" w:hAnsi="Arial" w:cs="Arial"/>
                <w:sz w:val="20"/>
                <w:szCs w:val="20"/>
              </w:rPr>
              <w:t>=</w:t>
            </w:r>
            <w:r w:rsidR="004355AA">
              <w:rPr>
                <w:rFonts w:ascii="Arial" w:hAnsi="Arial" w:cs="Arial"/>
                <w:sz w:val="20"/>
                <w:szCs w:val="20"/>
              </w:rPr>
              <w:t xml:space="preserve"> </w:t>
            </w:r>
            <w:r w:rsidRPr="00ED2630">
              <w:rPr>
                <w:rFonts w:ascii="Arial" w:hAnsi="Arial" w:cs="Arial"/>
                <w:sz w:val="20"/>
                <w:szCs w:val="20"/>
              </w:rPr>
              <w:t>161-163</w:t>
            </w:r>
          </w:p>
        </w:tc>
      </w:tr>
      <w:tr w:rsidR="00E72A2B" w:rsidRPr="00ED3820" w14:paraId="54A40F46" w14:textId="77777777" w:rsidTr="00D23413">
        <w:trPr>
          <w:trHeight w:val="1190"/>
        </w:trPr>
        <w:tc>
          <w:tcPr>
            <w:tcW w:w="1101" w:type="dxa"/>
            <w:shd w:val="clear" w:color="auto" w:fill="auto"/>
            <w:tcMar>
              <w:top w:w="85" w:type="dxa"/>
            </w:tcMar>
            <w:vAlign w:val="center"/>
          </w:tcPr>
          <w:p w14:paraId="71928277" w14:textId="73D5580C" w:rsidR="00E72A2B" w:rsidRPr="00ED3820" w:rsidRDefault="00E72A2B" w:rsidP="00E72A2B">
            <w:pPr>
              <w:contextualSpacing/>
              <w:rPr>
                <w:rFonts w:ascii="Arial" w:hAnsi="Arial" w:cs="Arial"/>
                <w:sz w:val="20"/>
                <w:szCs w:val="20"/>
              </w:rPr>
            </w:pPr>
            <w:r w:rsidRPr="00ED3820">
              <w:rPr>
                <w:rFonts w:ascii="Arial" w:hAnsi="Arial" w:cs="Arial"/>
                <w:sz w:val="20"/>
                <w:szCs w:val="20"/>
              </w:rPr>
              <w:lastRenderedPageBreak/>
              <w:t>168</w:t>
            </w:r>
          </w:p>
        </w:tc>
        <w:tc>
          <w:tcPr>
            <w:tcW w:w="1215" w:type="dxa"/>
            <w:vAlign w:val="center"/>
          </w:tcPr>
          <w:p w14:paraId="1CA3F73C" w14:textId="39F32458" w:rsidR="00E72A2B" w:rsidRPr="00ED2630" w:rsidRDefault="00E72A2B" w:rsidP="00E72A2B">
            <w:pPr>
              <w:contextualSpacing/>
              <w:rPr>
                <w:rFonts w:ascii="Arial" w:hAnsi="Arial" w:cs="Arial"/>
                <w:sz w:val="20"/>
                <w:szCs w:val="20"/>
              </w:rPr>
            </w:pPr>
            <w:r w:rsidRPr="00CA25FB">
              <w:rPr>
                <w:rFonts w:ascii="Arial" w:hAnsi="Arial" w:cs="Arial"/>
                <w:sz w:val="20"/>
                <w:szCs w:val="20"/>
              </w:rPr>
              <w:t>1.4.3</w:t>
            </w:r>
            <w:r w:rsidRPr="00ED2630">
              <w:rPr>
                <w:rFonts w:ascii="Arial" w:hAnsi="Arial" w:cs="Arial"/>
                <w:sz w:val="20"/>
                <w:szCs w:val="20"/>
              </w:rPr>
              <w:t>.*</w:t>
            </w:r>
          </w:p>
        </w:tc>
        <w:tc>
          <w:tcPr>
            <w:tcW w:w="3349" w:type="dxa"/>
            <w:shd w:val="clear" w:color="auto" w:fill="auto"/>
            <w:tcMar>
              <w:top w:w="85" w:type="dxa"/>
            </w:tcMar>
            <w:vAlign w:val="center"/>
          </w:tcPr>
          <w:p w14:paraId="595070C4" w14:textId="32E9FE91" w:rsidR="00E72A2B" w:rsidRPr="00ED2630" w:rsidRDefault="00E72A2B" w:rsidP="00E72A2B">
            <w:pPr>
              <w:contextualSpacing/>
              <w:rPr>
                <w:rFonts w:ascii="Arial" w:hAnsi="Arial" w:cs="Arial"/>
                <w:sz w:val="20"/>
                <w:szCs w:val="20"/>
              </w:rPr>
            </w:pPr>
            <w:r w:rsidRPr="00ED2630">
              <w:rPr>
                <w:rFonts w:ascii="Arial" w:hAnsi="Arial" w:cs="Arial"/>
                <w:sz w:val="20"/>
                <w:szCs w:val="20"/>
              </w:rPr>
              <w:t xml:space="preserve">Halmozott értékvesztés és hitelkockázatból származó negatív valósérték-változások halmozott összege </w:t>
            </w:r>
            <w:r w:rsidR="000E32D7">
              <w:rPr>
                <w:rFonts w:ascii="Arial" w:hAnsi="Arial" w:cs="Arial"/>
                <w:sz w:val="20"/>
                <w:szCs w:val="20"/>
              </w:rPr>
              <w:t>–</w:t>
            </w:r>
            <w:r w:rsidRPr="00ED2630">
              <w:rPr>
                <w:rFonts w:ascii="Arial" w:hAnsi="Arial" w:cs="Arial"/>
                <w:sz w:val="20"/>
                <w:szCs w:val="20"/>
              </w:rPr>
              <w:t xml:space="preserve"> </w:t>
            </w:r>
            <w:r w:rsidR="00551629">
              <w:rPr>
                <w:rFonts w:ascii="Arial" w:hAnsi="Arial" w:cs="Arial"/>
                <w:sz w:val="20"/>
                <w:szCs w:val="20"/>
              </w:rPr>
              <w:t xml:space="preserve">Harmadik ország </w:t>
            </w:r>
            <w:r w:rsidRPr="00ED2630">
              <w:rPr>
                <w:rFonts w:ascii="Arial" w:hAnsi="Arial" w:cs="Arial"/>
                <w:sz w:val="20"/>
                <w:szCs w:val="20"/>
              </w:rPr>
              <w:t>(tájékoztató adat)</w:t>
            </w:r>
          </w:p>
        </w:tc>
        <w:tc>
          <w:tcPr>
            <w:tcW w:w="3686" w:type="dxa"/>
            <w:shd w:val="clear" w:color="auto" w:fill="auto"/>
            <w:tcMar>
              <w:top w:w="85" w:type="dxa"/>
            </w:tcMar>
            <w:vAlign w:val="center"/>
          </w:tcPr>
          <w:p w14:paraId="7E030357" w14:textId="00A80AF7" w:rsidR="00E72A2B" w:rsidRPr="00ED3820" w:rsidRDefault="00A66214" w:rsidP="00883E29">
            <w:pPr>
              <w:pStyle w:val="Default"/>
              <w:spacing w:before="143" w:after="143"/>
              <w:jc w:val="both"/>
              <w:rPr>
                <w:rFonts w:ascii="Arial" w:hAnsi="Arial" w:cs="Arial"/>
                <w:sz w:val="20"/>
                <w:szCs w:val="20"/>
              </w:rPr>
            </w:pPr>
            <w:r>
              <w:rPr>
                <w:rFonts w:ascii="Arial" w:hAnsi="Arial" w:cs="Arial"/>
                <w:sz w:val="20"/>
                <w:szCs w:val="20"/>
              </w:rPr>
              <w:t>(EU) 2021/451</w:t>
            </w:r>
            <w:r w:rsidRPr="00ED2630">
              <w:rPr>
                <w:rFonts w:ascii="Arial" w:hAnsi="Arial" w:cs="Arial"/>
                <w:sz w:val="20"/>
                <w:szCs w:val="20"/>
              </w:rPr>
              <w:t xml:space="preserve"> </w:t>
            </w:r>
            <w:r w:rsidR="00833C68">
              <w:rPr>
                <w:rFonts w:ascii="Arial" w:hAnsi="Arial" w:cs="Arial"/>
                <w:sz w:val="20"/>
                <w:szCs w:val="20"/>
              </w:rPr>
              <w:t xml:space="preserve">bizottsági végrehajtási </w:t>
            </w:r>
            <w:r w:rsidR="00833C68" w:rsidRPr="004355AA">
              <w:rPr>
                <w:rFonts w:ascii="Arial" w:hAnsi="Arial" w:cs="Arial"/>
                <w:sz w:val="20"/>
                <w:szCs w:val="20"/>
              </w:rPr>
              <w:t>rendelet V. melléklet 2. rész 69</w:t>
            </w:r>
            <w:r w:rsidR="00833C68">
              <w:rPr>
                <w:rFonts w:ascii="Arial" w:hAnsi="Arial" w:cs="Arial"/>
                <w:sz w:val="20"/>
                <w:szCs w:val="20"/>
              </w:rPr>
              <w:t>-</w:t>
            </w:r>
            <w:r w:rsidR="00833C68" w:rsidRPr="004355AA">
              <w:rPr>
                <w:rFonts w:ascii="Arial" w:hAnsi="Arial" w:cs="Arial"/>
                <w:sz w:val="20"/>
                <w:szCs w:val="20"/>
              </w:rPr>
              <w:t>71.</w:t>
            </w:r>
            <w:r w:rsidR="00833C68">
              <w:rPr>
                <w:rFonts w:ascii="Arial" w:hAnsi="Arial" w:cs="Arial"/>
                <w:sz w:val="20"/>
                <w:szCs w:val="20"/>
              </w:rPr>
              <w:t xml:space="preserve"> pont</w:t>
            </w:r>
            <w:r w:rsidR="00833C68" w:rsidRPr="004355AA">
              <w:rPr>
                <w:rFonts w:ascii="Arial" w:hAnsi="Arial" w:cs="Arial"/>
                <w:sz w:val="20"/>
                <w:szCs w:val="20"/>
              </w:rPr>
              <w:t xml:space="preserve"> </w:t>
            </w:r>
          </w:p>
        </w:tc>
      </w:tr>
      <w:tr w:rsidR="00E72A2B" w:rsidRPr="00ED3820" w14:paraId="2E243E7B" w14:textId="77777777" w:rsidTr="00D23413">
        <w:tc>
          <w:tcPr>
            <w:tcW w:w="1101" w:type="dxa"/>
            <w:shd w:val="clear" w:color="auto" w:fill="auto"/>
            <w:tcMar>
              <w:top w:w="85" w:type="dxa"/>
            </w:tcMar>
            <w:vAlign w:val="center"/>
          </w:tcPr>
          <w:p w14:paraId="5F1B7CE4" w14:textId="77777777" w:rsidR="00E72A2B" w:rsidRPr="00ED3820" w:rsidRDefault="00E72A2B" w:rsidP="00E72A2B">
            <w:pPr>
              <w:contextualSpacing/>
              <w:rPr>
                <w:rFonts w:ascii="Arial" w:hAnsi="Arial" w:cs="Arial"/>
                <w:sz w:val="20"/>
                <w:szCs w:val="20"/>
              </w:rPr>
            </w:pPr>
            <w:r w:rsidRPr="00ED3820">
              <w:rPr>
                <w:rFonts w:ascii="Arial" w:hAnsi="Arial" w:cs="Arial"/>
                <w:sz w:val="20"/>
                <w:szCs w:val="20"/>
              </w:rPr>
              <w:t>180</w:t>
            </w:r>
          </w:p>
        </w:tc>
        <w:tc>
          <w:tcPr>
            <w:tcW w:w="1215" w:type="dxa"/>
            <w:vAlign w:val="center"/>
          </w:tcPr>
          <w:p w14:paraId="3C931F47" w14:textId="4045C282" w:rsidR="00E72A2B" w:rsidRPr="00ED3820" w:rsidRDefault="00E72A2B" w:rsidP="00E72A2B">
            <w:pPr>
              <w:contextualSpacing/>
              <w:rPr>
                <w:rFonts w:ascii="Arial" w:hAnsi="Arial" w:cs="Arial"/>
                <w:sz w:val="20"/>
                <w:szCs w:val="20"/>
              </w:rPr>
            </w:pPr>
            <w:r w:rsidRPr="00CA25FB">
              <w:rPr>
                <w:rFonts w:ascii="Arial" w:hAnsi="Arial" w:cs="Arial"/>
                <w:sz w:val="20"/>
                <w:szCs w:val="20"/>
              </w:rPr>
              <w:t>1.5.</w:t>
            </w:r>
          </w:p>
        </w:tc>
        <w:tc>
          <w:tcPr>
            <w:tcW w:w="3349" w:type="dxa"/>
            <w:shd w:val="clear" w:color="auto" w:fill="auto"/>
            <w:tcMar>
              <w:top w:w="85" w:type="dxa"/>
            </w:tcMar>
            <w:vAlign w:val="center"/>
          </w:tcPr>
          <w:p w14:paraId="7323C892" w14:textId="4F43D9B4" w:rsidR="00E72A2B" w:rsidRPr="00ED3820" w:rsidRDefault="00E72A2B" w:rsidP="00E72A2B">
            <w:pPr>
              <w:contextualSpacing/>
              <w:rPr>
                <w:rFonts w:ascii="Arial" w:hAnsi="Arial" w:cs="Arial"/>
                <w:sz w:val="20"/>
                <w:szCs w:val="20"/>
              </w:rPr>
            </w:pPr>
            <w:r w:rsidRPr="00ED3820">
              <w:rPr>
                <w:rFonts w:ascii="Arial" w:hAnsi="Arial" w:cs="Arial"/>
                <w:sz w:val="20"/>
                <w:szCs w:val="20"/>
              </w:rPr>
              <w:t>Hitelintézeteknek nyújtott hitelek és előlegek (fordított visszavásárlási hitelek kivételével)</w:t>
            </w:r>
          </w:p>
        </w:tc>
        <w:tc>
          <w:tcPr>
            <w:tcW w:w="3686" w:type="dxa"/>
            <w:shd w:val="clear" w:color="auto" w:fill="auto"/>
            <w:tcMar>
              <w:top w:w="85" w:type="dxa"/>
            </w:tcMar>
            <w:vAlign w:val="center"/>
          </w:tcPr>
          <w:p w14:paraId="3ED28AD1" w14:textId="67F47032" w:rsidR="00E72A2B" w:rsidRPr="00ED3820" w:rsidRDefault="002C37C2" w:rsidP="00E72A2B">
            <w:pPr>
              <w:contextualSpacing/>
              <w:rPr>
                <w:rFonts w:ascii="Arial" w:hAnsi="Arial" w:cs="Arial"/>
                <w:sz w:val="20"/>
                <w:szCs w:val="20"/>
              </w:rPr>
            </w:pPr>
            <w:r>
              <w:rPr>
                <w:rFonts w:ascii="Arial" w:hAnsi="Arial" w:cs="Arial"/>
                <w:sz w:val="20"/>
                <w:szCs w:val="20"/>
              </w:rPr>
              <w:t>(EU) 2021/451</w:t>
            </w:r>
            <w:r w:rsidRPr="00ED2630">
              <w:rPr>
                <w:rFonts w:ascii="Arial" w:hAnsi="Arial" w:cs="Arial"/>
                <w:sz w:val="20"/>
                <w:szCs w:val="20"/>
              </w:rPr>
              <w:t xml:space="preserve"> </w:t>
            </w:r>
            <w:r w:rsidR="00E72A2B" w:rsidRPr="00ED3820">
              <w:rPr>
                <w:rFonts w:ascii="Arial" w:hAnsi="Arial" w:cs="Arial"/>
                <w:sz w:val="20"/>
                <w:szCs w:val="20"/>
              </w:rPr>
              <w:t xml:space="preserve">bizottsági végrehajtási rendelet IV. melléklet F 05.01 tábla, </w:t>
            </w:r>
            <w:r w:rsidR="001738AA">
              <w:rPr>
                <w:rFonts w:ascii="Arial" w:hAnsi="Arial" w:cs="Arial"/>
                <w:sz w:val="20"/>
                <w:szCs w:val="20"/>
              </w:rPr>
              <w:t>0</w:t>
            </w:r>
            <w:r w:rsidR="00E72A2B" w:rsidRPr="00ED3820">
              <w:rPr>
                <w:rFonts w:ascii="Arial" w:hAnsi="Arial" w:cs="Arial"/>
                <w:sz w:val="20"/>
                <w:szCs w:val="20"/>
              </w:rPr>
              <w:t xml:space="preserve">080. sor csökkentve </w:t>
            </w:r>
            <w:r w:rsidR="00833C68">
              <w:rPr>
                <w:rFonts w:ascii="Arial" w:hAnsi="Arial" w:cs="Arial"/>
                <w:sz w:val="20"/>
                <w:szCs w:val="20"/>
              </w:rPr>
              <w:t>a</w:t>
            </w:r>
            <w:r w:rsidR="00B64769">
              <w:rPr>
                <w:rFonts w:ascii="Arial" w:hAnsi="Arial" w:cs="Arial"/>
                <w:sz w:val="20"/>
                <w:szCs w:val="20"/>
              </w:rPr>
              <w:t xml:space="preserve"> </w:t>
            </w:r>
            <w:r w:rsidR="001738AA">
              <w:rPr>
                <w:rFonts w:ascii="Arial" w:hAnsi="Arial" w:cs="Arial"/>
                <w:sz w:val="20"/>
                <w:szCs w:val="20"/>
              </w:rPr>
              <w:t>0</w:t>
            </w:r>
            <w:r w:rsidR="00E72A2B" w:rsidRPr="00ED3820">
              <w:rPr>
                <w:rFonts w:ascii="Arial" w:hAnsi="Arial" w:cs="Arial"/>
                <w:sz w:val="20"/>
                <w:szCs w:val="20"/>
              </w:rPr>
              <w:t xml:space="preserve">050. sorral, </w:t>
            </w:r>
            <w:r w:rsidR="001738AA">
              <w:rPr>
                <w:rFonts w:ascii="Arial" w:hAnsi="Arial" w:cs="Arial"/>
                <w:sz w:val="20"/>
                <w:szCs w:val="20"/>
              </w:rPr>
              <w:t>0</w:t>
            </w:r>
            <w:r w:rsidR="00E72A2B" w:rsidRPr="00ED3820">
              <w:rPr>
                <w:rFonts w:ascii="Arial" w:hAnsi="Arial" w:cs="Arial"/>
                <w:sz w:val="20"/>
                <w:szCs w:val="20"/>
              </w:rPr>
              <w:t>030. oszlop</w:t>
            </w:r>
          </w:p>
        </w:tc>
      </w:tr>
      <w:tr w:rsidR="00E72A2B" w:rsidRPr="00ED3820" w14:paraId="083EC33F" w14:textId="77777777" w:rsidTr="00D23413">
        <w:tc>
          <w:tcPr>
            <w:tcW w:w="1101" w:type="dxa"/>
            <w:shd w:val="clear" w:color="auto" w:fill="auto"/>
            <w:tcMar>
              <w:top w:w="85" w:type="dxa"/>
            </w:tcMar>
            <w:vAlign w:val="center"/>
          </w:tcPr>
          <w:p w14:paraId="2260464A" w14:textId="683FF9EA" w:rsidR="00E72A2B" w:rsidRPr="00ED3820" w:rsidRDefault="00E72A2B" w:rsidP="00E72A2B">
            <w:pPr>
              <w:contextualSpacing/>
              <w:rPr>
                <w:rFonts w:ascii="Arial" w:hAnsi="Arial" w:cs="Arial"/>
                <w:sz w:val="20"/>
                <w:szCs w:val="20"/>
              </w:rPr>
            </w:pPr>
            <w:r w:rsidRPr="00ED3820">
              <w:rPr>
                <w:rFonts w:ascii="Arial" w:hAnsi="Arial" w:cs="Arial"/>
                <w:sz w:val="20"/>
                <w:szCs w:val="20"/>
              </w:rPr>
              <w:t>181</w:t>
            </w:r>
          </w:p>
        </w:tc>
        <w:tc>
          <w:tcPr>
            <w:tcW w:w="1215" w:type="dxa"/>
            <w:vAlign w:val="center"/>
          </w:tcPr>
          <w:p w14:paraId="62754F36" w14:textId="5A11C497" w:rsidR="00E72A2B" w:rsidRPr="00CA25FB" w:rsidRDefault="00E72A2B" w:rsidP="00E72A2B">
            <w:pPr>
              <w:contextualSpacing/>
              <w:rPr>
                <w:rFonts w:ascii="Arial" w:hAnsi="Arial" w:cs="Arial"/>
                <w:sz w:val="20"/>
                <w:szCs w:val="20"/>
              </w:rPr>
            </w:pPr>
            <w:r w:rsidRPr="00CA25FB">
              <w:rPr>
                <w:rFonts w:ascii="Arial" w:hAnsi="Arial" w:cs="Arial"/>
                <w:sz w:val="20"/>
                <w:szCs w:val="20"/>
              </w:rPr>
              <w:t>1.5.1</w:t>
            </w:r>
            <w:r w:rsidR="004355AA">
              <w:rPr>
                <w:rFonts w:ascii="Arial" w:hAnsi="Arial" w:cs="Arial"/>
                <w:sz w:val="20"/>
                <w:szCs w:val="20"/>
              </w:rPr>
              <w:t>.</w:t>
            </w:r>
          </w:p>
        </w:tc>
        <w:tc>
          <w:tcPr>
            <w:tcW w:w="3349" w:type="dxa"/>
            <w:shd w:val="clear" w:color="auto" w:fill="auto"/>
            <w:tcMar>
              <w:top w:w="85" w:type="dxa"/>
            </w:tcMar>
            <w:vAlign w:val="center"/>
          </w:tcPr>
          <w:p w14:paraId="496CABA6" w14:textId="7C501C81" w:rsidR="00E72A2B" w:rsidRPr="00ED2630" w:rsidRDefault="00E72A2B" w:rsidP="00E72A2B">
            <w:pPr>
              <w:contextualSpacing/>
              <w:rPr>
                <w:rFonts w:ascii="Arial" w:hAnsi="Arial" w:cs="Arial"/>
                <w:sz w:val="20"/>
                <w:szCs w:val="20"/>
              </w:rPr>
            </w:pPr>
            <w:r w:rsidRPr="00ED2630">
              <w:rPr>
                <w:rFonts w:ascii="Arial" w:hAnsi="Arial" w:cs="Arial"/>
                <w:sz w:val="20"/>
                <w:szCs w:val="20"/>
              </w:rPr>
              <w:t>Hazai tevékenységek</w:t>
            </w:r>
          </w:p>
        </w:tc>
        <w:tc>
          <w:tcPr>
            <w:tcW w:w="3686" w:type="dxa"/>
            <w:shd w:val="clear" w:color="auto" w:fill="auto"/>
            <w:tcMar>
              <w:top w:w="85" w:type="dxa"/>
            </w:tcMar>
            <w:vAlign w:val="center"/>
          </w:tcPr>
          <w:p w14:paraId="6901E1C2" w14:textId="1E5B2093" w:rsidR="00E72A2B" w:rsidRPr="00ED2630" w:rsidRDefault="006B4D4A" w:rsidP="00C07C1B">
            <w:pPr>
              <w:contextualSpacing/>
              <w:jc w:val="both"/>
              <w:rPr>
                <w:rFonts w:ascii="Arial" w:hAnsi="Arial" w:cs="Arial"/>
                <w:sz w:val="20"/>
                <w:szCs w:val="20"/>
              </w:rPr>
            </w:pPr>
            <w:r>
              <w:rPr>
                <w:rFonts w:ascii="Arial" w:hAnsi="Arial" w:cs="Arial"/>
                <w:sz w:val="20"/>
                <w:szCs w:val="20"/>
              </w:rPr>
              <w:t>(EU) 2021/451</w:t>
            </w:r>
            <w:r w:rsidRPr="00ED2630">
              <w:rPr>
                <w:rFonts w:ascii="Arial" w:hAnsi="Arial" w:cs="Arial"/>
                <w:sz w:val="20"/>
                <w:szCs w:val="20"/>
              </w:rPr>
              <w:t xml:space="preserve"> </w:t>
            </w:r>
            <w:r w:rsidR="001B3265" w:rsidRPr="00ED2630">
              <w:rPr>
                <w:rFonts w:ascii="Arial" w:hAnsi="Arial" w:cs="Arial"/>
                <w:sz w:val="20"/>
                <w:szCs w:val="20"/>
              </w:rPr>
              <w:t>bizottsági végrehajtási rendelet V. melléklet 2. rész 270. pont</w:t>
            </w:r>
          </w:p>
        </w:tc>
      </w:tr>
      <w:tr w:rsidR="00E72A2B" w:rsidRPr="00ED3820" w14:paraId="2BCE928C" w14:textId="77777777" w:rsidTr="00D23413">
        <w:tc>
          <w:tcPr>
            <w:tcW w:w="1101" w:type="dxa"/>
            <w:shd w:val="clear" w:color="auto" w:fill="auto"/>
            <w:tcMar>
              <w:top w:w="85" w:type="dxa"/>
            </w:tcMar>
            <w:vAlign w:val="center"/>
          </w:tcPr>
          <w:p w14:paraId="3F7DC442" w14:textId="77777777" w:rsidR="00E72A2B" w:rsidRPr="00ED3820" w:rsidRDefault="00E72A2B" w:rsidP="00E72A2B">
            <w:pPr>
              <w:contextualSpacing/>
              <w:rPr>
                <w:rFonts w:ascii="Arial" w:hAnsi="Arial" w:cs="Arial"/>
                <w:sz w:val="20"/>
                <w:szCs w:val="20"/>
              </w:rPr>
            </w:pPr>
            <w:r w:rsidRPr="00ED3820">
              <w:rPr>
                <w:rFonts w:ascii="Arial" w:hAnsi="Arial" w:cs="Arial"/>
                <w:sz w:val="20"/>
                <w:szCs w:val="20"/>
              </w:rPr>
              <w:t>190</w:t>
            </w:r>
          </w:p>
        </w:tc>
        <w:tc>
          <w:tcPr>
            <w:tcW w:w="1215" w:type="dxa"/>
            <w:vAlign w:val="center"/>
          </w:tcPr>
          <w:p w14:paraId="56DEEE11" w14:textId="7903BE7B" w:rsidR="00E72A2B" w:rsidRPr="00ED3820" w:rsidRDefault="00E72A2B" w:rsidP="00E72A2B">
            <w:pPr>
              <w:contextualSpacing/>
              <w:rPr>
                <w:rFonts w:ascii="Arial" w:hAnsi="Arial" w:cs="Arial"/>
                <w:sz w:val="20"/>
                <w:szCs w:val="20"/>
              </w:rPr>
            </w:pPr>
            <w:r w:rsidRPr="00CA25FB">
              <w:rPr>
                <w:rFonts w:ascii="Arial" w:hAnsi="Arial" w:cs="Arial"/>
                <w:sz w:val="20"/>
                <w:szCs w:val="20"/>
              </w:rPr>
              <w:t>1.</w:t>
            </w:r>
            <w:r w:rsidR="004606EE" w:rsidRPr="00ED3820">
              <w:rPr>
                <w:rFonts w:ascii="Arial" w:hAnsi="Arial" w:cs="Arial"/>
                <w:sz w:val="20"/>
                <w:szCs w:val="20"/>
              </w:rPr>
              <w:t>6.</w:t>
            </w:r>
          </w:p>
        </w:tc>
        <w:tc>
          <w:tcPr>
            <w:tcW w:w="3349" w:type="dxa"/>
            <w:shd w:val="clear" w:color="auto" w:fill="auto"/>
            <w:tcMar>
              <w:top w:w="85" w:type="dxa"/>
            </w:tcMar>
            <w:vAlign w:val="center"/>
          </w:tcPr>
          <w:p w14:paraId="415FF710" w14:textId="279D0BCD" w:rsidR="00E72A2B" w:rsidRPr="00ED3820" w:rsidRDefault="00E72A2B" w:rsidP="00E72A2B">
            <w:pPr>
              <w:contextualSpacing/>
              <w:rPr>
                <w:rFonts w:ascii="Arial" w:hAnsi="Arial" w:cs="Arial"/>
                <w:sz w:val="20"/>
                <w:szCs w:val="20"/>
              </w:rPr>
            </w:pPr>
            <w:r w:rsidRPr="00ED3820">
              <w:rPr>
                <w:rFonts w:ascii="Arial" w:hAnsi="Arial" w:cs="Arial"/>
                <w:sz w:val="20"/>
                <w:szCs w:val="20"/>
              </w:rPr>
              <w:t>Egyéb pénzügyi vállalatok</w:t>
            </w:r>
            <w:r w:rsidR="004606EE" w:rsidRPr="00ED3820">
              <w:rPr>
                <w:rFonts w:ascii="Arial" w:hAnsi="Arial" w:cs="Arial"/>
                <w:sz w:val="20"/>
                <w:szCs w:val="20"/>
              </w:rPr>
              <w:t>nak nyújtott hitelek és előlegek (fordított visszavásárlási hitelek kivételével)</w:t>
            </w:r>
          </w:p>
        </w:tc>
        <w:tc>
          <w:tcPr>
            <w:tcW w:w="3686" w:type="dxa"/>
            <w:shd w:val="clear" w:color="auto" w:fill="auto"/>
            <w:tcMar>
              <w:top w:w="85" w:type="dxa"/>
            </w:tcMar>
            <w:vAlign w:val="center"/>
          </w:tcPr>
          <w:p w14:paraId="19960871" w14:textId="040FE509" w:rsidR="00E72A2B" w:rsidRPr="00ED3820" w:rsidRDefault="006B4D4A" w:rsidP="00C07C1B">
            <w:pPr>
              <w:contextualSpacing/>
              <w:jc w:val="both"/>
              <w:rPr>
                <w:rFonts w:ascii="Arial" w:hAnsi="Arial" w:cs="Arial"/>
                <w:sz w:val="20"/>
                <w:szCs w:val="20"/>
              </w:rPr>
            </w:pPr>
            <w:r>
              <w:rPr>
                <w:rFonts w:ascii="Arial" w:hAnsi="Arial" w:cs="Arial"/>
                <w:sz w:val="20"/>
                <w:szCs w:val="20"/>
              </w:rPr>
              <w:t>(EU) 2021/451</w:t>
            </w:r>
            <w:r w:rsidRPr="00ED2630">
              <w:rPr>
                <w:rFonts w:ascii="Arial" w:hAnsi="Arial" w:cs="Arial"/>
                <w:sz w:val="20"/>
                <w:szCs w:val="20"/>
              </w:rPr>
              <w:t xml:space="preserve"> </w:t>
            </w:r>
            <w:r w:rsidR="00E72A2B" w:rsidRPr="00ED3820">
              <w:rPr>
                <w:rFonts w:ascii="Arial" w:hAnsi="Arial" w:cs="Arial"/>
                <w:sz w:val="20"/>
                <w:szCs w:val="20"/>
              </w:rPr>
              <w:t xml:space="preserve">bizottsági végrehajtási rendelet IV. melléklet F 05.01 tábla, </w:t>
            </w:r>
            <w:r w:rsidR="00FE38A5">
              <w:rPr>
                <w:rFonts w:ascii="Arial" w:hAnsi="Arial" w:cs="Arial"/>
                <w:sz w:val="20"/>
                <w:szCs w:val="20"/>
              </w:rPr>
              <w:t>0</w:t>
            </w:r>
            <w:r w:rsidR="00E72A2B" w:rsidRPr="00ED3820">
              <w:rPr>
                <w:rFonts w:ascii="Arial" w:hAnsi="Arial" w:cs="Arial"/>
                <w:sz w:val="20"/>
                <w:szCs w:val="20"/>
              </w:rPr>
              <w:t xml:space="preserve">080. sor csökkentve </w:t>
            </w:r>
            <w:r w:rsidR="00833C68">
              <w:rPr>
                <w:rFonts w:ascii="Arial" w:hAnsi="Arial" w:cs="Arial"/>
                <w:sz w:val="20"/>
                <w:szCs w:val="20"/>
              </w:rPr>
              <w:t>a</w:t>
            </w:r>
            <w:r w:rsidR="00B64769">
              <w:rPr>
                <w:rFonts w:ascii="Arial" w:hAnsi="Arial" w:cs="Arial"/>
                <w:sz w:val="20"/>
                <w:szCs w:val="20"/>
              </w:rPr>
              <w:t xml:space="preserve"> </w:t>
            </w:r>
            <w:r w:rsidR="00FE38A5">
              <w:rPr>
                <w:rFonts w:ascii="Arial" w:hAnsi="Arial" w:cs="Arial"/>
                <w:sz w:val="20"/>
                <w:szCs w:val="20"/>
              </w:rPr>
              <w:t>0</w:t>
            </w:r>
            <w:r w:rsidR="00E72A2B" w:rsidRPr="00ED3820">
              <w:rPr>
                <w:rFonts w:ascii="Arial" w:hAnsi="Arial" w:cs="Arial"/>
                <w:sz w:val="20"/>
                <w:szCs w:val="20"/>
              </w:rPr>
              <w:t xml:space="preserve">050. sorral, </w:t>
            </w:r>
            <w:r w:rsidR="00FE38A5">
              <w:rPr>
                <w:rFonts w:ascii="Arial" w:hAnsi="Arial" w:cs="Arial"/>
                <w:sz w:val="20"/>
                <w:szCs w:val="20"/>
              </w:rPr>
              <w:t>0</w:t>
            </w:r>
            <w:r w:rsidR="00E72A2B" w:rsidRPr="00ED3820">
              <w:rPr>
                <w:rFonts w:ascii="Arial" w:hAnsi="Arial" w:cs="Arial"/>
                <w:sz w:val="20"/>
                <w:szCs w:val="20"/>
              </w:rPr>
              <w:t>040. oszlop</w:t>
            </w:r>
          </w:p>
        </w:tc>
      </w:tr>
      <w:tr w:rsidR="001B3265" w:rsidRPr="00ED3820" w14:paraId="594EB35F" w14:textId="77777777" w:rsidTr="00D23413">
        <w:tc>
          <w:tcPr>
            <w:tcW w:w="1101" w:type="dxa"/>
            <w:shd w:val="clear" w:color="auto" w:fill="auto"/>
            <w:tcMar>
              <w:top w:w="85" w:type="dxa"/>
            </w:tcMar>
            <w:vAlign w:val="center"/>
          </w:tcPr>
          <w:p w14:paraId="7C7F9671" w14:textId="45F7953E" w:rsidR="001B3265" w:rsidRPr="00ED3820" w:rsidRDefault="001B3265" w:rsidP="001B3265">
            <w:pPr>
              <w:contextualSpacing/>
              <w:rPr>
                <w:rFonts w:ascii="Arial" w:hAnsi="Arial" w:cs="Arial"/>
                <w:sz w:val="20"/>
                <w:szCs w:val="20"/>
              </w:rPr>
            </w:pPr>
            <w:r w:rsidRPr="00ED3820">
              <w:rPr>
                <w:rFonts w:ascii="Arial" w:hAnsi="Arial" w:cs="Arial"/>
                <w:sz w:val="20"/>
                <w:szCs w:val="20"/>
              </w:rPr>
              <w:t>191</w:t>
            </w:r>
          </w:p>
        </w:tc>
        <w:tc>
          <w:tcPr>
            <w:tcW w:w="1215" w:type="dxa"/>
            <w:vAlign w:val="center"/>
          </w:tcPr>
          <w:p w14:paraId="45BB62C3" w14:textId="061E2517" w:rsidR="001B3265" w:rsidRPr="00ED2630" w:rsidRDefault="001B3265" w:rsidP="001B3265">
            <w:pPr>
              <w:contextualSpacing/>
              <w:rPr>
                <w:rFonts w:ascii="Arial" w:hAnsi="Arial" w:cs="Arial"/>
                <w:sz w:val="20"/>
                <w:szCs w:val="20"/>
              </w:rPr>
            </w:pPr>
            <w:r w:rsidRPr="00CA25FB">
              <w:rPr>
                <w:rFonts w:ascii="Arial" w:hAnsi="Arial" w:cs="Arial"/>
                <w:sz w:val="20"/>
                <w:szCs w:val="20"/>
              </w:rPr>
              <w:t>1.6.1</w:t>
            </w:r>
            <w:r w:rsidRPr="00ED2630">
              <w:rPr>
                <w:rFonts w:ascii="Arial" w:hAnsi="Arial" w:cs="Arial"/>
                <w:sz w:val="20"/>
                <w:szCs w:val="20"/>
              </w:rPr>
              <w:t>.</w:t>
            </w:r>
          </w:p>
        </w:tc>
        <w:tc>
          <w:tcPr>
            <w:tcW w:w="3349" w:type="dxa"/>
            <w:shd w:val="clear" w:color="auto" w:fill="auto"/>
            <w:tcMar>
              <w:top w:w="85" w:type="dxa"/>
            </w:tcMar>
            <w:vAlign w:val="center"/>
          </w:tcPr>
          <w:p w14:paraId="40C8BA77" w14:textId="624E337F" w:rsidR="001B3265" w:rsidRPr="00ED2630" w:rsidRDefault="001B3265" w:rsidP="001B3265">
            <w:pPr>
              <w:contextualSpacing/>
              <w:rPr>
                <w:rFonts w:ascii="Arial" w:hAnsi="Arial" w:cs="Arial"/>
                <w:sz w:val="20"/>
                <w:szCs w:val="20"/>
              </w:rPr>
            </w:pPr>
            <w:r w:rsidRPr="00ED2630">
              <w:rPr>
                <w:rFonts w:ascii="Arial" w:hAnsi="Arial" w:cs="Arial"/>
                <w:sz w:val="20"/>
                <w:szCs w:val="20"/>
              </w:rPr>
              <w:t>Hazai tevékenységek</w:t>
            </w:r>
          </w:p>
        </w:tc>
        <w:tc>
          <w:tcPr>
            <w:tcW w:w="3686" w:type="dxa"/>
            <w:shd w:val="clear" w:color="auto" w:fill="auto"/>
            <w:tcMar>
              <w:top w:w="85" w:type="dxa"/>
            </w:tcMar>
            <w:vAlign w:val="center"/>
          </w:tcPr>
          <w:p w14:paraId="6FA64916" w14:textId="4597F85D" w:rsidR="001B3265" w:rsidRPr="00ED2630" w:rsidRDefault="006B4D4A" w:rsidP="00C07C1B">
            <w:pPr>
              <w:contextualSpacing/>
              <w:jc w:val="both"/>
              <w:rPr>
                <w:rFonts w:ascii="Arial" w:hAnsi="Arial" w:cs="Arial"/>
                <w:sz w:val="20"/>
                <w:szCs w:val="20"/>
              </w:rPr>
            </w:pPr>
            <w:r>
              <w:rPr>
                <w:rFonts w:ascii="Arial" w:hAnsi="Arial" w:cs="Arial"/>
                <w:sz w:val="20"/>
                <w:szCs w:val="20"/>
              </w:rPr>
              <w:t>(EU) 2021/451</w:t>
            </w:r>
            <w:r w:rsidRPr="00ED2630">
              <w:rPr>
                <w:rFonts w:ascii="Arial" w:hAnsi="Arial" w:cs="Arial"/>
                <w:sz w:val="20"/>
                <w:szCs w:val="20"/>
              </w:rPr>
              <w:t xml:space="preserve"> </w:t>
            </w:r>
            <w:r w:rsidR="001B3265" w:rsidRPr="00ED2630">
              <w:rPr>
                <w:rFonts w:ascii="Arial" w:hAnsi="Arial" w:cs="Arial"/>
                <w:sz w:val="20"/>
                <w:szCs w:val="20"/>
              </w:rPr>
              <w:t>bizottsági végrehajtási rendelet V. melléklet 2. rész 270. pont</w:t>
            </w:r>
          </w:p>
        </w:tc>
      </w:tr>
      <w:tr w:rsidR="001B3265" w:rsidRPr="00ED3820" w14:paraId="44D90EE8" w14:textId="77777777" w:rsidTr="00D23413">
        <w:tc>
          <w:tcPr>
            <w:tcW w:w="1101" w:type="dxa"/>
            <w:shd w:val="clear" w:color="auto" w:fill="auto"/>
            <w:tcMar>
              <w:top w:w="85" w:type="dxa"/>
            </w:tcMar>
            <w:vAlign w:val="center"/>
          </w:tcPr>
          <w:p w14:paraId="7BD2124F" w14:textId="0AFB93B7" w:rsidR="001B3265" w:rsidRPr="00ED3820" w:rsidRDefault="001B3265" w:rsidP="001B3265">
            <w:pPr>
              <w:contextualSpacing/>
              <w:rPr>
                <w:rFonts w:ascii="Arial" w:hAnsi="Arial" w:cs="Arial"/>
                <w:sz w:val="20"/>
                <w:szCs w:val="20"/>
              </w:rPr>
            </w:pPr>
            <w:r w:rsidRPr="00ED3820">
              <w:rPr>
                <w:rFonts w:ascii="Arial" w:hAnsi="Arial" w:cs="Arial"/>
                <w:sz w:val="20"/>
                <w:szCs w:val="20"/>
              </w:rPr>
              <w:t>195</w:t>
            </w:r>
          </w:p>
        </w:tc>
        <w:tc>
          <w:tcPr>
            <w:tcW w:w="1215" w:type="dxa"/>
            <w:vAlign w:val="center"/>
          </w:tcPr>
          <w:p w14:paraId="45154E05" w14:textId="6E1D0F53" w:rsidR="001B3265" w:rsidRPr="00CA25FB" w:rsidRDefault="001B3265" w:rsidP="001B3265">
            <w:pPr>
              <w:contextualSpacing/>
              <w:rPr>
                <w:rFonts w:ascii="Arial" w:hAnsi="Arial" w:cs="Arial"/>
                <w:sz w:val="20"/>
                <w:szCs w:val="20"/>
              </w:rPr>
            </w:pPr>
            <w:r w:rsidRPr="00CA25FB">
              <w:rPr>
                <w:rFonts w:ascii="Arial" w:hAnsi="Arial" w:cs="Arial"/>
                <w:sz w:val="20"/>
                <w:szCs w:val="20"/>
              </w:rPr>
              <w:t>1.7</w:t>
            </w:r>
            <w:r w:rsidR="004355AA">
              <w:rPr>
                <w:rFonts w:ascii="Arial" w:hAnsi="Arial" w:cs="Arial"/>
                <w:sz w:val="20"/>
                <w:szCs w:val="20"/>
              </w:rPr>
              <w:t>.</w:t>
            </w:r>
          </w:p>
        </w:tc>
        <w:tc>
          <w:tcPr>
            <w:tcW w:w="3349" w:type="dxa"/>
            <w:shd w:val="clear" w:color="auto" w:fill="auto"/>
            <w:tcMar>
              <w:top w:w="85" w:type="dxa"/>
            </w:tcMar>
            <w:vAlign w:val="center"/>
          </w:tcPr>
          <w:p w14:paraId="5D5EF041" w14:textId="2E9D6CB8" w:rsidR="001B3265" w:rsidRPr="00ED2630" w:rsidRDefault="001B3265" w:rsidP="001B3265">
            <w:pPr>
              <w:contextualSpacing/>
              <w:rPr>
                <w:rFonts w:ascii="Arial" w:hAnsi="Arial" w:cs="Arial"/>
                <w:sz w:val="20"/>
                <w:szCs w:val="20"/>
              </w:rPr>
            </w:pPr>
            <w:r w:rsidRPr="00ED2630">
              <w:rPr>
                <w:rFonts w:ascii="Arial" w:hAnsi="Arial" w:cs="Arial"/>
                <w:sz w:val="20"/>
                <w:szCs w:val="20"/>
              </w:rPr>
              <w:t>Központi bankoknak nyújtott hitelek és előlegek (fordított visszavásárlási hitelek kivételével)</w:t>
            </w:r>
          </w:p>
        </w:tc>
        <w:tc>
          <w:tcPr>
            <w:tcW w:w="3686" w:type="dxa"/>
            <w:shd w:val="clear" w:color="auto" w:fill="auto"/>
            <w:tcMar>
              <w:top w:w="85" w:type="dxa"/>
            </w:tcMar>
            <w:vAlign w:val="center"/>
          </w:tcPr>
          <w:p w14:paraId="1E33D0AC" w14:textId="61F7D236" w:rsidR="001B3265" w:rsidRPr="00975916" w:rsidRDefault="006B4D4A" w:rsidP="00C07C1B">
            <w:pPr>
              <w:contextualSpacing/>
              <w:jc w:val="both"/>
              <w:rPr>
                <w:rFonts w:ascii="Arial" w:hAnsi="Arial" w:cs="Arial"/>
                <w:sz w:val="20"/>
                <w:szCs w:val="20"/>
              </w:rPr>
            </w:pPr>
            <w:r>
              <w:rPr>
                <w:rFonts w:ascii="Arial" w:hAnsi="Arial" w:cs="Arial"/>
                <w:sz w:val="20"/>
                <w:szCs w:val="20"/>
              </w:rPr>
              <w:t>(EU) 2021/451</w:t>
            </w:r>
            <w:r w:rsidRPr="00ED2630">
              <w:rPr>
                <w:rFonts w:ascii="Arial" w:hAnsi="Arial" w:cs="Arial"/>
                <w:sz w:val="20"/>
                <w:szCs w:val="20"/>
              </w:rPr>
              <w:t xml:space="preserve"> </w:t>
            </w:r>
            <w:r w:rsidR="002E2ADB" w:rsidRPr="00ED2630">
              <w:rPr>
                <w:rFonts w:ascii="Arial" w:hAnsi="Arial" w:cs="Arial"/>
                <w:sz w:val="20"/>
                <w:szCs w:val="20"/>
              </w:rPr>
              <w:t>bizottsági végrehajtási rendelet III. melléklet F 0</w:t>
            </w:r>
            <w:r w:rsidR="002E2ADB" w:rsidRPr="006E162A">
              <w:rPr>
                <w:rFonts w:ascii="Arial" w:hAnsi="Arial" w:cs="Arial"/>
                <w:sz w:val="20"/>
                <w:szCs w:val="20"/>
              </w:rPr>
              <w:t>5.0</w:t>
            </w:r>
            <w:r w:rsidR="002E2ADB" w:rsidRPr="006521E4">
              <w:rPr>
                <w:rFonts w:ascii="Arial" w:hAnsi="Arial" w:cs="Arial"/>
                <w:sz w:val="20"/>
                <w:szCs w:val="20"/>
              </w:rPr>
              <w:t xml:space="preserve">1 tábla, </w:t>
            </w:r>
            <w:r w:rsidR="00FE38A5">
              <w:rPr>
                <w:rFonts w:ascii="Arial" w:hAnsi="Arial" w:cs="Arial"/>
                <w:sz w:val="20"/>
                <w:szCs w:val="20"/>
              </w:rPr>
              <w:t>0</w:t>
            </w:r>
            <w:r w:rsidR="002E2ADB" w:rsidRPr="006521E4">
              <w:rPr>
                <w:rFonts w:ascii="Arial" w:hAnsi="Arial" w:cs="Arial"/>
                <w:sz w:val="20"/>
                <w:szCs w:val="20"/>
              </w:rPr>
              <w:t>080. sor csökkentve a</w:t>
            </w:r>
            <w:r w:rsidR="002E2ADB" w:rsidRPr="008F4673">
              <w:rPr>
                <w:rFonts w:ascii="Arial" w:hAnsi="Arial" w:cs="Arial"/>
                <w:sz w:val="20"/>
                <w:szCs w:val="20"/>
              </w:rPr>
              <w:t xml:space="preserve"> </w:t>
            </w:r>
            <w:r w:rsidR="00FE38A5">
              <w:rPr>
                <w:rFonts w:ascii="Arial" w:hAnsi="Arial" w:cs="Arial"/>
                <w:sz w:val="20"/>
                <w:szCs w:val="20"/>
              </w:rPr>
              <w:t>0</w:t>
            </w:r>
            <w:r w:rsidR="002E2ADB" w:rsidRPr="008F4673">
              <w:rPr>
                <w:rFonts w:ascii="Arial" w:hAnsi="Arial" w:cs="Arial"/>
                <w:sz w:val="20"/>
                <w:szCs w:val="20"/>
              </w:rPr>
              <w:t xml:space="preserve">010 és </w:t>
            </w:r>
            <w:r w:rsidR="00FE38A5">
              <w:rPr>
                <w:rFonts w:ascii="Arial" w:hAnsi="Arial" w:cs="Arial"/>
                <w:sz w:val="20"/>
                <w:szCs w:val="20"/>
              </w:rPr>
              <w:t>0</w:t>
            </w:r>
            <w:r w:rsidR="002E2ADB" w:rsidRPr="008F4673">
              <w:rPr>
                <w:rFonts w:ascii="Arial" w:hAnsi="Arial" w:cs="Arial"/>
                <w:sz w:val="20"/>
                <w:szCs w:val="20"/>
              </w:rPr>
              <w:t xml:space="preserve">050. sorokkal, </w:t>
            </w:r>
            <w:r w:rsidR="00FE38A5">
              <w:rPr>
                <w:rFonts w:ascii="Arial" w:hAnsi="Arial" w:cs="Arial"/>
                <w:sz w:val="20"/>
                <w:szCs w:val="20"/>
              </w:rPr>
              <w:t>0</w:t>
            </w:r>
            <w:r w:rsidR="002E2ADB" w:rsidRPr="008F4673">
              <w:rPr>
                <w:rFonts w:ascii="Arial" w:hAnsi="Arial" w:cs="Arial"/>
                <w:sz w:val="20"/>
                <w:szCs w:val="20"/>
              </w:rPr>
              <w:t>0</w:t>
            </w:r>
            <w:r w:rsidR="002E2ADB" w:rsidRPr="005E293C">
              <w:rPr>
                <w:rFonts w:ascii="Arial" w:hAnsi="Arial" w:cs="Arial"/>
                <w:sz w:val="20"/>
                <w:szCs w:val="20"/>
              </w:rPr>
              <w:t>1</w:t>
            </w:r>
            <w:r w:rsidR="002E2ADB" w:rsidRPr="00975916">
              <w:rPr>
                <w:rFonts w:ascii="Arial" w:hAnsi="Arial" w:cs="Arial"/>
                <w:sz w:val="20"/>
                <w:szCs w:val="20"/>
              </w:rPr>
              <w:t>0. oszlop.</w:t>
            </w:r>
          </w:p>
        </w:tc>
      </w:tr>
      <w:tr w:rsidR="001B3265" w:rsidRPr="00ED3820" w14:paraId="16BA2A21" w14:textId="77777777" w:rsidTr="00D23413">
        <w:tc>
          <w:tcPr>
            <w:tcW w:w="1101" w:type="dxa"/>
            <w:shd w:val="clear" w:color="auto" w:fill="auto"/>
            <w:tcMar>
              <w:top w:w="85" w:type="dxa"/>
            </w:tcMar>
            <w:vAlign w:val="center"/>
          </w:tcPr>
          <w:p w14:paraId="2DB7C369" w14:textId="08E560DC" w:rsidR="001B3265" w:rsidRPr="00ED3820" w:rsidRDefault="001B3265" w:rsidP="001B3265">
            <w:pPr>
              <w:contextualSpacing/>
              <w:rPr>
                <w:rFonts w:ascii="Arial" w:hAnsi="Arial" w:cs="Arial"/>
                <w:sz w:val="20"/>
                <w:szCs w:val="20"/>
              </w:rPr>
            </w:pPr>
            <w:r w:rsidRPr="00ED3820">
              <w:rPr>
                <w:rFonts w:ascii="Arial" w:hAnsi="Arial" w:cs="Arial"/>
                <w:sz w:val="20"/>
                <w:szCs w:val="20"/>
              </w:rPr>
              <w:t>197</w:t>
            </w:r>
          </w:p>
        </w:tc>
        <w:tc>
          <w:tcPr>
            <w:tcW w:w="1215" w:type="dxa"/>
            <w:vAlign w:val="center"/>
          </w:tcPr>
          <w:p w14:paraId="7DD06051" w14:textId="6BE1CA07" w:rsidR="001B3265" w:rsidRPr="00CA25FB" w:rsidRDefault="001B3265" w:rsidP="001B3265">
            <w:pPr>
              <w:contextualSpacing/>
              <w:rPr>
                <w:rFonts w:ascii="Arial" w:hAnsi="Arial" w:cs="Arial"/>
                <w:sz w:val="20"/>
                <w:szCs w:val="20"/>
              </w:rPr>
            </w:pPr>
            <w:r w:rsidRPr="00CA25FB">
              <w:rPr>
                <w:rFonts w:ascii="Arial" w:hAnsi="Arial" w:cs="Arial"/>
                <w:sz w:val="20"/>
                <w:szCs w:val="20"/>
              </w:rPr>
              <w:t>1.8</w:t>
            </w:r>
            <w:r w:rsidR="004355AA">
              <w:rPr>
                <w:rFonts w:ascii="Arial" w:hAnsi="Arial" w:cs="Arial"/>
                <w:sz w:val="20"/>
                <w:szCs w:val="20"/>
              </w:rPr>
              <w:t>.</w:t>
            </w:r>
          </w:p>
        </w:tc>
        <w:tc>
          <w:tcPr>
            <w:tcW w:w="3349" w:type="dxa"/>
            <w:shd w:val="clear" w:color="auto" w:fill="auto"/>
            <w:tcMar>
              <w:top w:w="85" w:type="dxa"/>
            </w:tcMar>
            <w:vAlign w:val="center"/>
          </w:tcPr>
          <w:p w14:paraId="3E0C0713" w14:textId="58ED65BE" w:rsidR="001B3265" w:rsidRPr="00ED2630" w:rsidRDefault="001B3265" w:rsidP="001B3265">
            <w:pPr>
              <w:contextualSpacing/>
              <w:rPr>
                <w:rFonts w:ascii="Arial" w:hAnsi="Arial" w:cs="Arial"/>
                <w:sz w:val="20"/>
                <w:szCs w:val="20"/>
              </w:rPr>
            </w:pPr>
            <w:r w:rsidRPr="00ED2630">
              <w:rPr>
                <w:rFonts w:ascii="Arial" w:hAnsi="Arial" w:cs="Arial"/>
                <w:sz w:val="20"/>
                <w:szCs w:val="20"/>
              </w:rPr>
              <w:t>Államháztartásnak nyújtott hitelek és előlegek (fordított visszavásárlási hitelek kivételével)</w:t>
            </w:r>
          </w:p>
        </w:tc>
        <w:tc>
          <w:tcPr>
            <w:tcW w:w="3686" w:type="dxa"/>
            <w:shd w:val="clear" w:color="auto" w:fill="auto"/>
            <w:tcMar>
              <w:top w:w="85" w:type="dxa"/>
            </w:tcMar>
            <w:vAlign w:val="center"/>
          </w:tcPr>
          <w:p w14:paraId="6E784349" w14:textId="10403FB7" w:rsidR="001B3265" w:rsidRPr="008F4673" w:rsidRDefault="006B4D4A" w:rsidP="00C07C1B">
            <w:pPr>
              <w:contextualSpacing/>
              <w:jc w:val="both"/>
              <w:rPr>
                <w:rFonts w:ascii="Arial" w:hAnsi="Arial" w:cs="Arial"/>
                <w:sz w:val="20"/>
                <w:szCs w:val="20"/>
              </w:rPr>
            </w:pPr>
            <w:r>
              <w:rPr>
                <w:rFonts w:ascii="Arial" w:hAnsi="Arial" w:cs="Arial"/>
                <w:sz w:val="20"/>
                <w:szCs w:val="20"/>
              </w:rPr>
              <w:t>(EU) 2021/451</w:t>
            </w:r>
            <w:r w:rsidRPr="00ED2630">
              <w:rPr>
                <w:rFonts w:ascii="Arial" w:hAnsi="Arial" w:cs="Arial"/>
                <w:sz w:val="20"/>
                <w:szCs w:val="20"/>
              </w:rPr>
              <w:t xml:space="preserve"> </w:t>
            </w:r>
            <w:r w:rsidR="002E2ADB" w:rsidRPr="00ED2630">
              <w:rPr>
                <w:rFonts w:ascii="Arial" w:hAnsi="Arial" w:cs="Arial"/>
                <w:sz w:val="20"/>
                <w:szCs w:val="20"/>
              </w:rPr>
              <w:t>bizottsági végrehajtási rendelet III. melléklet F 0</w:t>
            </w:r>
            <w:r w:rsidR="002E2ADB" w:rsidRPr="006E162A">
              <w:rPr>
                <w:rFonts w:ascii="Arial" w:hAnsi="Arial" w:cs="Arial"/>
                <w:sz w:val="20"/>
                <w:szCs w:val="20"/>
              </w:rPr>
              <w:t>5.01</w:t>
            </w:r>
            <w:r w:rsidR="002E2ADB" w:rsidRPr="006521E4">
              <w:rPr>
                <w:rFonts w:ascii="Arial" w:hAnsi="Arial" w:cs="Arial"/>
                <w:sz w:val="20"/>
                <w:szCs w:val="20"/>
              </w:rPr>
              <w:t xml:space="preserve"> tábla, </w:t>
            </w:r>
            <w:r w:rsidR="00FE38A5">
              <w:rPr>
                <w:rFonts w:ascii="Arial" w:hAnsi="Arial" w:cs="Arial"/>
                <w:sz w:val="20"/>
                <w:szCs w:val="20"/>
              </w:rPr>
              <w:t>0</w:t>
            </w:r>
            <w:r w:rsidR="002E2ADB" w:rsidRPr="006521E4">
              <w:rPr>
                <w:rFonts w:ascii="Arial" w:hAnsi="Arial" w:cs="Arial"/>
                <w:sz w:val="20"/>
                <w:szCs w:val="20"/>
              </w:rPr>
              <w:t xml:space="preserve">080. sor csökkentve a </w:t>
            </w:r>
            <w:r w:rsidR="00FE38A5">
              <w:rPr>
                <w:rFonts w:ascii="Arial" w:hAnsi="Arial" w:cs="Arial"/>
                <w:sz w:val="20"/>
                <w:szCs w:val="20"/>
              </w:rPr>
              <w:t>0</w:t>
            </w:r>
            <w:r w:rsidR="002E2ADB" w:rsidRPr="006521E4">
              <w:rPr>
                <w:rFonts w:ascii="Arial" w:hAnsi="Arial" w:cs="Arial"/>
                <w:sz w:val="20"/>
                <w:szCs w:val="20"/>
              </w:rPr>
              <w:t xml:space="preserve">050. sorral, </w:t>
            </w:r>
            <w:r w:rsidR="00FE38A5">
              <w:rPr>
                <w:rFonts w:ascii="Arial" w:hAnsi="Arial" w:cs="Arial"/>
                <w:sz w:val="20"/>
                <w:szCs w:val="20"/>
              </w:rPr>
              <w:t>0</w:t>
            </w:r>
            <w:r w:rsidR="002E2ADB" w:rsidRPr="006521E4">
              <w:rPr>
                <w:rFonts w:ascii="Arial" w:hAnsi="Arial" w:cs="Arial"/>
                <w:sz w:val="20"/>
                <w:szCs w:val="20"/>
              </w:rPr>
              <w:t>0</w:t>
            </w:r>
            <w:r w:rsidR="002E2ADB" w:rsidRPr="008F4673">
              <w:rPr>
                <w:rFonts w:ascii="Arial" w:hAnsi="Arial" w:cs="Arial"/>
                <w:sz w:val="20"/>
                <w:szCs w:val="20"/>
              </w:rPr>
              <w:t>20. oszlop.</w:t>
            </w:r>
          </w:p>
        </w:tc>
      </w:tr>
      <w:tr w:rsidR="001B3265" w:rsidRPr="00ED3820" w14:paraId="4ACD4F20" w14:textId="77777777" w:rsidTr="00D23413">
        <w:tc>
          <w:tcPr>
            <w:tcW w:w="1101" w:type="dxa"/>
            <w:shd w:val="clear" w:color="auto" w:fill="auto"/>
            <w:tcMar>
              <w:top w:w="85" w:type="dxa"/>
            </w:tcMar>
            <w:vAlign w:val="center"/>
          </w:tcPr>
          <w:p w14:paraId="2ED8C0E1" w14:textId="77777777" w:rsidR="001B3265" w:rsidRPr="00ED3820" w:rsidRDefault="001B3265" w:rsidP="001B3265">
            <w:pPr>
              <w:contextualSpacing/>
              <w:rPr>
                <w:rFonts w:ascii="Arial" w:hAnsi="Arial" w:cs="Arial"/>
                <w:sz w:val="20"/>
                <w:szCs w:val="20"/>
              </w:rPr>
            </w:pPr>
            <w:r w:rsidRPr="00ED3820">
              <w:rPr>
                <w:rFonts w:ascii="Arial" w:hAnsi="Arial" w:cs="Arial"/>
                <w:sz w:val="20"/>
                <w:szCs w:val="20"/>
              </w:rPr>
              <w:t>200</w:t>
            </w:r>
          </w:p>
        </w:tc>
        <w:tc>
          <w:tcPr>
            <w:tcW w:w="1215" w:type="dxa"/>
            <w:vAlign w:val="center"/>
          </w:tcPr>
          <w:p w14:paraId="4C6C3E2C" w14:textId="4EDA88D8" w:rsidR="001B3265" w:rsidRPr="00ED3820" w:rsidRDefault="001B3265" w:rsidP="001B3265">
            <w:pPr>
              <w:contextualSpacing/>
              <w:rPr>
                <w:rFonts w:ascii="Arial" w:hAnsi="Arial" w:cs="Arial"/>
                <w:sz w:val="20"/>
                <w:szCs w:val="20"/>
              </w:rPr>
            </w:pPr>
            <w:r w:rsidRPr="00CA25FB">
              <w:rPr>
                <w:rFonts w:ascii="Arial" w:hAnsi="Arial" w:cs="Arial"/>
                <w:sz w:val="20"/>
                <w:szCs w:val="20"/>
              </w:rPr>
              <w:t>1.</w:t>
            </w:r>
            <w:r w:rsidRPr="00ED3820">
              <w:rPr>
                <w:rFonts w:ascii="Arial" w:hAnsi="Arial" w:cs="Arial"/>
                <w:sz w:val="20"/>
                <w:szCs w:val="20"/>
              </w:rPr>
              <w:t>9.</w:t>
            </w:r>
          </w:p>
        </w:tc>
        <w:tc>
          <w:tcPr>
            <w:tcW w:w="3349" w:type="dxa"/>
            <w:shd w:val="clear" w:color="auto" w:fill="auto"/>
            <w:tcMar>
              <w:top w:w="85" w:type="dxa"/>
            </w:tcMar>
            <w:vAlign w:val="center"/>
          </w:tcPr>
          <w:p w14:paraId="6F99EDEE" w14:textId="77777777" w:rsidR="001B3265" w:rsidRPr="00ED3820" w:rsidRDefault="001B3265" w:rsidP="001B3265">
            <w:pPr>
              <w:contextualSpacing/>
              <w:rPr>
                <w:rFonts w:ascii="Arial" w:hAnsi="Arial" w:cs="Arial"/>
                <w:sz w:val="20"/>
                <w:szCs w:val="20"/>
              </w:rPr>
            </w:pPr>
            <w:r w:rsidRPr="00ED3820">
              <w:rPr>
                <w:rFonts w:ascii="Arial" w:hAnsi="Arial" w:cs="Arial"/>
                <w:sz w:val="20"/>
                <w:szCs w:val="20"/>
              </w:rPr>
              <w:t>Származtatott ügyletek</w:t>
            </w:r>
          </w:p>
        </w:tc>
        <w:tc>
          <w:tcPr>
            <w:tcW w:w="3686" w:type="dxa"/>
            <w:shd w:val="clear" w:color="auto" w:fill="auto"/>
            <w:tcMar>
              <w:top w:w="85" w:type="dxa"/>
            </w:tcMar>
            <w:vAlign w:val="center"/>
          </w:tcPr>
          <w:p w14:paraId="7F49BC64" w14:textId="57D468EA" w:rsidR="001B3265" w:rsidRPr="00ED3820" w:rsidRDefault="006B4D4A" w:rsidP="00C07C1B">
            <w:pPr>
              <w:contextualSpacing/>
              <w:jc w:val="both"/>
              <w:rPr>
                <w:rFonts w:ascii="Arial" w:hAnsi="Arial" w:cs="Arial"/>
                <w:sz w:val="20"/>
                <w:szCs w:val="20"/>
              </w:rPr>
            </w:pPr>
            <w:r>
              <w:rPr>
                <w:rFonts w:ascii="Arial" w:hAnsi="Arial" w:cs="Arial"/>
                <w:sz w:val="20"/>
                <w:szCs w:val="20"/>
              </w:rPr>
              <w:t>(EU) 2021/451</w:t>
            </w:r>
            <w:r w:rsidRPr="00ED2630">
              <w:rPr>
                <w:rFonts w:ascii="Arial" w:hAnsi="Arial" w:cs="Arial"/>
                <w:sz w:val="20"/>
                <w:szCs w:val="20"/>
              </w:rPr>
              <w:t xml:space="preserve"> </w:t>
            </w:r>
            <w:r w:rsidR="001B3265" w:rsidRPr="00ED3820">
              <w:rPr>
                <w:rFonts w:ascii="Arial" w:hAnsi="Arial" w:cs="Arial"/>
                <w:sz w:val="20"/>
                <w:szCs w:val="20"/>
              </w:rPr>
              <w:t xml:space="preserve">bizottsági végrehajtási rendelet </w:t>
            </w:r>
            <w:r w:rsidR="007E5EF5" w:rsidRPr="00ED3820">
              <w:rPr>
                <w:rFonts w:ascii="Arial" w:hAnsi="Arial" w:cs="Arial"/>
                <w:sz w:val="20"/>
                <w:szCs w:val="20"/>
              </w:rPr>
              <w:t>III.</w:t>
            </w:r>
            <w:r w:rsidR="001B3265" w:rsidRPr="00ED3820">
              <w:rPr>
                <w:rFonts w:ascii="Arial" w:hAnsi="Arial" w:cs="Arial"/>
                <w:sz w:val="20"/>
                <w:szCs w:val="20"/>
              </w:rPr>
              <w:t xml:space="preserve"> melléklet F 01.01 tábla, </w:t>
            </w:r>
            <w:r w:rsidR="00FE38A5">
              <w:rPr>
                <w:rFonts w:ascii="Arial" w:hAnsi="Arial" w:cs="Arial"/>
                <w:sz w:val="20"/>
                <w:szCs w:val="20"/>
              </w:rPr>
              <w:t>0</w:t>
            </w:r>
            <w:r w:rsidR="001B3265" w:rsidRPr="00ED3820">
              <w:rPr>
                <w:rFonts w:ascii="Arial" w:hAnsi="Arial" w:cs="Arial"/>
                <w:sz w:val="20"/>
                <w:szCs w:val="20"/>
              </w:rPr>
              <w:t>060.+</w:t>
            </w:r>
            <w:r w:rsidR="00FE38A5">
              <w:rPr>
                <w:rFonts w:ascii="Arial" w:hAnsi="Arial" w:cs="Arial"/>
                <w:sz w:val="20"/>
                <w:szCs w:val="20"/>
              </w:rPr>
              <w:t>0</w:t>
            </w:r>
            <w:r w:rsidR="001B3265" w:rsidRPr="00ED3820">
              <w:rPr>
                <w:rFonts w:ascii="Arial" w:hAnsi="Arial" w:cs="Arial"/>
                <w:sz w:val="20"/>
                <w:szCs w:val="20"/>
              </w:rPr>
              <w:t xml:space="preserve">240. sor, </w:t>
            </w:r>
            <w:r w:rsidR="00FE38A5">
              <w:rPr>
                <w:rFonts w:ascii="Arial" w:hAnsi="Arial" w:cs="Arial"/>
                <w:sz w:val="20"/>
                <w:szCs w:val="20"/>
              </w:rPr>
              <w:t>0</w:t>
            </w:r>
            <w:r w:rsidR="001B3265" w:rsidRPr="00ED3820">
              <w:rPr>
                <w:rFonts w:ascii="Arial" w:hAnsi="Arial" w:cs="Arial"/>
                <w:sz w:val="20"/>
                <w:szCs w:val="20"/>
              </w:rPr>
              <w:t>010. oszlop</w:t>
            </w:r>
          </w:p>
        </w:tc>
      </w:tr>
      <w:tr w:rsidR="002E2ADB" w:rsidRPr="00ED3820" w14:paraId="7F88EE67" w14:textId="77777777" w:rsidTr="00D23413">
        <w:tc>
          <w:tcPr>
            <w:tcW w:w="1101" w:type="dxa"/>
            <w:shd w:val="clear" w:color="auto" w:fill="auto"/>
            <w:tcMar>
              <w:top w:w="85" w:type="dxa"/>
            </w:tcMar>
            <w:vAlign w:val="center"/>
          </w:tcPr>
          <w:p w14:paraId="7EEF1D85" w14:textId="040B9A79" w:rsidR="002E2ADB" w:rsidRPr="00ED3820" w:rsidRDefault="002E2ADB" w:rsidP="002E2ADB">
            <w:pPr>
              <w:contextualSpacing/>
              <w:rPr>
                <w:rFonts w:ascii="Arial" w:hAnsi="Arial" w:cs="Arial"/>
                <w:sz w:val="20"/>
                <w:szCs w:val="20"/>
              </w:rPr>
            </w:pPr>
            <w:r w:rsidRPr="00ED3820">
              <w:rPr>
                <w:rFonts w:ascii="Arial" w:hAnsi="Arial" w:cs="Arial"/>
                <w:sz w:val="20"/>
                <w:szCs w:val="20"/>
              </w:rPr>
              <w:t>205</w:t>
            </w:r>
          </w:p>
        </w:tc>
        <w:tc>
          <w:tcPr>
            <w:tcW w:w="1215" w:type="dxa"/>
            <w:vAlign w:val="center"/>
          </w:tcPr>
          <w:p w14:paraId="364C6FE0" w14:textId="26BE299B" w:rsidR="002E2ADB" w:rsidRPr="00CA25FB" w:rsidRDefault="002E2ADB" w:rsidP="002E2ADB">
            <w:pPr>
              <w:contextualSpacing/>
              <w:rPr>
                <w:rFonts w:ascii="Arial" w:hAnsi="Arial" w:cs="Arial"/>
                <w:sz w:val="20"/>
                <w:szCs w:val="20"/>
              </w:rPr>
            </w:pPr>
            <w:r w:rsidRPr="00CA25FB">
              <w:rPr>
                <w:rFonts w:ascii="Arial" w:hAnsi="Arial" w:cs="Arial"/>
                <w:sz w:val="20"/>
                <w:szCs w:val="20"/>
              </w:rPr>
              <w:t>1.10</w:t>
            </w:r>
            <w:r w:rsidR="004355AA">
              <w:rPr>
                <w:rFonts w:ascii="Arial" w:hAnsi="Arial" w:cs="Arial"/>
                <w:sz w:val="20"/>
                <w:szCs w:val="20"/>
              </w:rPr>
              <w:t>.</w:t>
            </w:r>
          </w:p>
        </w:tc>
        <w:tc>
          <w:tcPr>
            <w:tcW w:w="3349" w:type="dxa"/>
            <w:shd w:val="clear" w:color="auto" w:fill="auto"/>
            <w:tcMar>
              <w:top w:w="85" w:type="dxa"/>
            </w:tcMar>
            <w:vAlign w:val="center"/>
          </w:tcPr>
          <w:p w14:paraId="2D6CC842" w14:textId="43420AE0" w:rsidR="002E2ADB" w:rsidRPr="00ED2630" w:rsidRDefault="002E2ADB" w:rsidP="002E2ADB">
            <w:pPr>
              <w:contextualSpacing/>
              <w:rPr>
                <w:rFonts w:ascii="Arial" w:hAnsi="Arial" w:cs="Arial"/>
                <w:sz w:val="20"/>
                <w:szCs w:val="20"/>
              </w:rPr>
            </w:pPr>
            <w:r w:rsidRPr="00ED2630">
              <w:rPr>
                <w:rFonts w:ascii="Arial" w:hAnsi="Arial" w:cs="Arial"/>
                <w:sz w:val="20"/>
                <w:szCs w:val="20"/>
              </w:rPr>
              <w:t>Hitelviszonyt megtestesítő értékpapírok</w:t>
            </w:r>
          </w:p>
        </w:tc>
        <w:tc>
          <w:tcPr>
            <w:tcW w:w="3686" w:type="dxa"/>
            <w:shd w:val="clear" w:color="auto" w:fill="auto"/>
            <w:tcMar>
              <w:top w:w="85" w:type="dxa"/>
            </w:tcMar>
            <w:vAlign w:val="center"/>
          </w:tcPr>
          <w:p w14:paraId="414B4453" w14:textId="10DA9495" w:rsidR="002E2ADB" w:rsidRPr="008B6DAB" w:rsidRDefault="00391AC4" w:rsidP="002E2ADB">
            <w:pPr>
              <w:contextualSpacing/>
              <w:rPr>
                <w:rFonts w:ascii="Arial" w:hAnsi="Arial" w:cs="Arial"/>
                <w:sz w:val="20"/>
                <w:szCs w:val="20"/>
              </w:rPr>
            </w:pPr>
            <w:r>
              <w:rPr>
                <w:rFonts w:ascii="Arial" w:hAnsi="Arial" w:cs="Arial"/>
                <w:sz w:val="20"/>
                <w:szCs w:val="20"/>
              </w:rPr>
              <w:t>(EU) 2021/451</w:t>
            </w:r>
            <w:r w:rsidRPr="00ED2630">
              <w:rPr>
                <w:rFonts w:ascii="Arial" w:hAnsi="Arial" w:cs="Arial"/>
                <w:sz w:val="20"/>
                <w:szCs w:val="20"/>
              </w:rPr>
              <w:t xml:space="preserve"> </w:t>
            </w:r>
            <w:r w:rsidR="002E2ADB" w:rsidRPr="00ED2630">
              <w:rPr>
                <w:rFonts w:ascii="Arial" w:hAnsi="Arial" w:cs="Arial"/>
                <w:sz w:val="20"/>
                <w:szCs w:val="20"/>
              </w:rPr>
              <w:t xml:space="preserve">bizottsági végrehajtási rendelet III. melléklet F 01.01 tábla, </w:t>
            </w:r>
            <w:r w:rsidR="00FE38A5">
              <w:rPr>
                <w:rFonts w:ascii="Arial" w:hAnsi="Arial" w:cs="Arial"/>
                <w:sz w:val="20"/>
                <w:szCs w:val="20"/>
              </w:rPr>
              <w:t>0</w:t>
            </w:r>
            <w:r w:rsidR="002E2ADB" w:rsidRPr="00ED2630">
              <w:rPr>
                <w:rFonts w:ascii="Arial" w:hAnsi="Arial" w:cs="Arial"/>
                <w:sz w:val="20"/>
                <w:szCs w:val="20"/>
              </w:rPr>
              <w:t>08</w:t>
            </w:r>
            <w:r w:rsidR="002E2ADB" w:rsidRPr="006E162A">
              <w:rPr>
                <w:rFonts w:ascii="Arial" w:hAnsi="Arial" w:cs="Arial"/>
                <w:sz w:val="20"/>
                <w:szCs w:val="20"/>
              </w:rPr>
              <w:t>0</w:t>
            </w:r>
            <w:r w:rsidR="002E2ADB" w:rsidRPr="006521E4">
              <w:rPr>
                <w:rFonts w:ascii="Arial" w:hAnsi="Arial" w:cs="Arial"/>
                <w:sz w:val="20"/>
                <w:szCs w:val="20"/>
              </w:rPr>
              <w:t>.+</w:t>
            </w:r>
            <w:r w:rsidR="002E2ADB" w:rsidRPr="00B857E2">
              <w:rPr>
                <w:rFonts w:ascii="Arial" w:hAnsi="Arial" w:cs="Arial"/>
                <w:sz w:val="20"/>
                <w:szCs w:val="20"/>
              </w:rPr>
              <w:t xml:space="preserve"> </w:t>
            </w:r>
            <w:r w:rsidR="00FE38A5">
              <w:rPr>
                <w:rFonts w:ascii="Arial" w:hAnsi="Arial" w:cs="Arial"/>
                <w:sz w:val="20"/>
                <w:szCs w:val="20"/>
              </w:rPr>
              <w:t>0</w:t>
            </w:r>
            <w:r w:rsidR="002E2ADB" w:rsidRPr="008F4673">
              <w:rPr>
                <w:rFonts w:ascii="Arial" w:hAnsi="Arial" w:cs="Arial"/>
                <w:sz w:val="20"/>
                <w:szCs w:val="20"/>
              </w:rPr>
              <w:t>0</w:t>
            </w:r>
            <w:r w:rsidR="008B736F" w:rsidRPr="008F4673">
              <w:rPr>
                <w:rFonts w:ascii="Arial" w:hAnsi="Arial" w:cs="Arial"/>
                <w:sz w:val="20"/>
                <w:szCs w:val="20"/>
              </w:rPr>
              <w:t>98</w:t>
            </w:r>
            <w:r w:rsidR="002E2ADB" w:rsidRPr="008F4673">
              <w:rPr>
                <w:rFonts w:ascii="Arial" w:hAnsi="Arial" w:cs="Arial"/>
                <w:sz w:val="20"/>
                <w:szCs w:val="20"/>
              </w:rPr>
              <w:t>.+</w:t>
            </w:r>
            <w:r w:rsidR="002E2ADB" w:rsidRPr="005E293C">
              <w:rPr>
                <w:rFonts w:ascii="Arial" w:hAnsi="Arial" w:cs="Arial"/>
                <w:sz w:val="20"/>
                <w:szCs w:val="20"/>
              </w:rPr>
              <w:t xml:space="preserve"> </w:t>
            </w:r>
            <w:r w:rsidR="00FE38A5">
              <w:rPr>
                <w:rFonts w:ascii="Arial" w:hAnsi="Arial" w:cs="Arial"/>
                <w:sz w:val="20"/>
                <w:szCs w:val="20"/>
              </w:rPr>
              <w:t>0</w:t>
            </w:r>
            <w:r w:rsidR="008B736F" w:rsidRPr="00975916">
              <w:rPr>
                <w:rFonts w:ascii="Arial" w:hAnsi="Arial" w:cs="Arial"/>
                <w:sz w:val="20"/>
                <w:szCs w:val="20"/>
              </w:rPr>
              <w:t xml:space="preserve">120.+ </w:t>
            </w:r>
            <w:r w:rsidR="00FE38A5">
              <w:rPr>
                <w:rFonts w:ascii="Arial" w:hAnsi="Arial" w:cs="Arial"/>
                <w:sz w:val="20"/>
                <w:szCs w:val="20"/>
              </w:rPr>
              <w:t>0</w:t>
            </w:r>
            <w:r w:rsidR="008B736F" w:rsidRPr="00975916">
              <w:rPr>
                <w:rFonts w:ascii="Arial" w:hAnsi="Arial" w:cs="Arial"/>
                <w:sz w:val="20"/>
                <w:szCs w:val="20"/>
              </w:rPr>
              <w:t>1</w:t>
            </w:r>
            <w:r w:rsidR="00075D19" w:rsidRPr="00975916">
              <w:rPr>
                <w:rFonts w:ascii="Arial" w:hAnsi="Arial" w:cs="Arial"/>
                <w:sz w:val="20"/>
                <w:szCs w:val="20"/>
              </w:rPr>
              <w:t>43</w:t>
            </w:r>
            <w:r w:rsidR="008B736F" w:rsidRPr="00975916">
              <w:rPr>
                <w:rFonts w:ascii="Arial" w:hAnsi="Arial" w:cs="Arial"/>
                <w:sz w:val="20"/>
                <w:szCs w:val="20"/>
              </w:rPr>
              <w:t>.</w:t>
            </w:r>
            <w:r w:rsidR="00075D19" w:rsidRPr="00975916">
              <w:rPr>
                <w:rFonts w:ascii="Arial" w:hAnsi="Arial" w:cs="Arial"/>
                <w:sz w:val="20"/>
                <w:szCs w:val="20"/>
              </w:rPr>
              <w:t>+</w:t>
            </w:r>
            <w:r w:rsidR="00FE38A5">
              <w:rPr>
                <w:rFonts w:ascii="Arial" w:hAnsi="Arial" w:cs="Arial"/>
                <w:sz w:val="20"/>
                <w:szCs w:val="20"/>
              </w:rPr>
              <w:t>0</w:t>
            </w:r>
            <w:r w:rsidR="00075D19" w:rsidRPr="00975916">
              <w:rPr>
                <w:rFonts w:ascii="Arial" w:hAnsi="Arial" w:cs="Arial"/>
                <w:sz w:val="20"/>
                <w:szCs w:val="20"/>
              </w:rPr>
              <w:t>182.</w:t>
            </w:r>
            <w:r w:rsidR="002E2ADB" w:rsidRPr="00975916">
              <w:rPr>
                <w:rFonts w:ascii="Arial" w:hAnsi="Arial" w:cs="Arial"/>
                <w:sz w:val="20"/>
                <w:szCs w:val="20"/>
              </w:rPr>
              <w:t xml:space="preserve"> sor, </w:t>
            </w:r>
            <w:r w:rsidR="00FE38A5">
              <w:rPr>
                <w:rFonts w:ascii="Arial" w:hAnsi="Arial" w:cs="Arial"/>
                <w:sz w:val="20"/>
                <w:szCs w:val="20"/>
              </w:rPr>
              <w:t>0</w:t>
            </w:r>
            <w:r w:rsidR="002E2ADB" w:rsidRPr="00975916">
              <w:rPr>
                <w:rFonts w:ascii="Arial" w:hAnsi="Arial" w:cs="Arial"/>
                <w:sz w:val="20"/>
                <w:szCs w:val="20"/>
              </w:rPr>
              <w:t>010</w:t>
            </w:r>
            <w:r w:rsidR="002E2ADB" w:rsidRPr="008B6DAB">
              <w:rPr>
                <w:rFonts w:ascii="Arial" w:hAnsi="Arial" w:cs="Arial"/>
                <w:sz w:val="20"/>
                <w:szCs w:val="20"/>
              </w:rPr>
              <w:t>. oszlop</w:t>
            </w:r>
          </w:p>
        </w:tc>
      </w:tr>
      <w:tr w:rsidR="002E2ADB" w:rsidRPr="00ED3820" w14:paraId="5DE1A4D5" w14:textId="77777777" w:rsidTr="00D23413">
        <w:tc>
          <w:tcPr>
            <w:tcW w:w="1101" w:type="dxa"/>
            <w:shd w:val="clear" w:color="auto" w:fill="auto"/>
            <w:tcMar>
              <w:top w:w="85" w:type="dxa"/>
            </w:tcMar>
            <w:vAlign w:val="center"/>
          </w:tcPr>
          <w:p w14:paraId="432EE5D8" w14:textId="192A1A17" w:rsidR="002E2ADB" w:rsidRPr="00ED3820" w:rsidRDefault="002E2ADB" w:rsidP="002E2ADB">
            <w:pPr>
              <w:contextualSpacing/>
              <w:rPr>
                <w:rFonts w:ascii="Arial" w:hAnsi="Arial" w:cs="Arial"/>
                <w:sz w:val="20"/>
                <w:szCs w:val="20"/>
              </w:rPr>
            </w:pPr>
            <w:r w:rsidRPr="00ED3820">
              <w:rPr>
                <w:rFonts w:ascii="Arial" w:hAnsi="Arial" w:cs="Arial"/>
                <w:sz w:val="20"/>
                <w:szCs w:val="20"/>
              </w:rPr>
              <w:t>207</w:t>
            </w:r>
          </w:p>
        </w:tc>
        <w:tc>
          <w:tcPr>
            <w:tcW w:w="1215" w:type="dxa"/>
            <w:vAlign w:val="center"/>
          </w:tcPr>
          <w:p w14:paraId="79347631" w14:textId="0A0F8E12" w:rsidR="002E2ADB" w:rsidRPr="00CA25FB" w:rsidRDefault="002E2ADB" w:rsidP="002E2ADB">
            <w:pPr>
              <w:contextualSpacing/>
              <w:rPr>
                <w:rFonts w:ascii="Arial" w:hAnsi="Arial" w:cs="Arial"/>
                <w:sz w:val="20"/>
                <w:szCs w:val="20"/>
              </w:rPr>
            </w:pPr>
            <w:r w:rsidRPr="00CA25FB">
              <w:rPr>
                <w:rFonts w:ascii="Arial" w:hAnsi="Arial" w:cs="Arial"/>
                <w:sz w:val="20"/>
                <w:szCs w:val="20"/>
              </w:rPr>
              <w:t>1.11</w:t>
            </w:r>
            <w:r w:rsidR="008451E8">
              <w:rPr>
                <w:rFonts w:ascii="Arial" w:hAnsi="Arial" w:cs="Arial"/>
                <w:sz w:val="20"/>
                <w:szCs w:val="20"/>
              </w:rPr>
              <w:t>.</w:t>
            </w:r>
          </w:p>
        </w:tc>
        <w:tc>
          <w:tcPr>
            <w:tcW w:w="3349" w:type="dxa"/>
            <w:shd w:val="clear" w:color="auto" w:fill="auto"/>
            <w:tcMar>
              <w:top w:w="85" w:type="dxa"/>
            </w:tcMar>
            <w:vAlign w:val="center"/>
          </w:tcPr>
          <w:p w14:paraId="6CA73720" w14:textId="4B30ED90" w:rsidR="002E2ADB" w:rsidRPr="00ED2630" w:rsidRDefault="002E2ADB" w:rsidP="002E2ADB">
            <w:pPr>
              <w:contextualSpacing/>
              <w:rPr>
                <w:rFonts w:ascii="Arial" w:hAnsi="Arial" w:cs="Arial"/>
                <w:sz w:val="20"/>
                <w:szCs w:val="20"/>
              </w:rPr>
            </w:pPr>
            <w:r w:rsidRPr="00ED2630">
              <w:rPr>
                <w:rFonts w:ascii="Arial" w:hAnsi="Arial" w:cs="Arial"/>
                <w:sz w:val="20"/>
                <w:szCs w:val="20"/>
              </w:rPr>
              <w:t>Tulajdoni részesedést megtestesítő instrumentumok</w:t>
            </w:r>
          </w:p>
        </w:tc>
        <w:tc>
          <w:tcPr>
            <w:tcW w:w="3686" w:type="dxa"/>
            <w:shd w:val="clear" w:color="auto" w:fill="auto"/>
            <w:tcMar>
              <w:top w:w="85" w:type="dxa"/>
            </w:tcMar>
            <w:vAlign w:val="center"/>
          </w:tcPr>
          <w:p w14:paraId="65FAB43E" w14:textId="2B3ACCFA" w:rsidR="002E2ADB" w:rsidRPr="008B6DAB" w:rsidRDefault="00391AC4" w:rsidP="002E2ADB">
            <w:pPr>
              <w:contextualSpacing/>
              <w:rPr>
                <w:rFonts w:ascii="Arial" w:hAnsi="Arial" w:cs="Arial"/>
                <w:sz w:val="20"/>
                <w:szCs w:val="20"/>
              </w:rPr>
            </w:pPr>
            <w:r>
              <w:rPr>
                <w:rFonts w:ascii="Arial" w:hAnsi="Arial" w:cs="Arial"/>
                <w:sz w:val="20"/>
                <w:szCs w:val="20"/>
              </w:rPr>
              <w:t>(EU) 2021/451</w:t>
            </w:r>
            <w:r w:rsidRPr="00ED2630">
              <w:rPr>
                <w:rFonts w:ascii="Arial" w:hAnsi="Arial" w:cs="Arial"/>
                <w:sz w:val="20"/>
                <w:szCs w:val="20"/>
              </w:rPr>
              <w:t xml:space="preserve"> </w:t>
            </w:r>
            <w:r w:rsidR="00075D19" w:rsidRPr="00ED2630">
              <w:rPr>
                <w:rFonts w:ascii="Arial" w:hAnsi="Arial" w:cs="Arial"/>
                <w:sz w:val="20"/>
                <w:szCs w:val="20"/>
              </w:rPr>
              <w:t xml:space="preserve">bizottsági végrehajtási rendelet III. melléklet F 01.01 tábla, </w:t>
            </w:r>
            <w:r w:rsidR="00FE38A5">
              <w:rPr>
                <w:rFonts w:ascii="Arial" w:hAnsi="Arial" w:cs="Arial"/>
                <w:sz w:val="20"/>
                <w:szCs w:val="20"/>
              </w:rPr>
              <w:t>0</w:t>
            </w:r>
            <w:r w:rsidR="00075D19" w:rsidRPr="00ED2630">
              <w:rPr>
                <w:rFonts w:ascii="Arial" w:hAnsi="Arial" w:cs="Arial"/>
                <w:sz w:val="20"/>
                <w:szCs w:val="20"/>
              </w:rPr>
              <w:t>07</w:t>
            </w:r>
            <w:r w:rsidR="00075D19" w:rsidRPr="006E162A">
              <w:rPr>
                <w:rFonts w:ascii="Arial" w:hAnsi="Arial" w:cs="Arial"/>
                <w:sz w:val="20"/>
                <w:szCs w:val="20"/>
              </w:rPr>
              <w:t>0</w:t>
            </w:r>
            <w:r w:rsidR="00075D19" w:rsidRPr="006521E4">
              <w:rPr>
                <w:rFonts w:ascii="Arial" w:hAnsi="Arial" w:cs="Arial"/>
                <w:sz w:val="20"/>
                <w:szCs w:val="20"/>
              </w:rPr>
              <w:t>.+</w:t>
            </w:r>
            <w:r w:rsidR="00075D19" w:rsidRPr="00B857E2">
              <w:rPr>
                <w:rFonts w:ascii="Arial" w:hAnsi="Arial" w:cs="Arial"/>
                <w:sz w:val="20"/>
                <w:szCs w:val="20"/>
              </w:rPr>
              <w:t xml:space="preserve"> </w:t>
            </w:r>
            <w:r w:rsidR="00FE38A5">
              <w:rPr>
                <w:rFonts w:ascii="Arial" w:hAnsi="Arial" w:cs="Arial"/>
                <w:sz w:val="20"/>
                <w:szCs w:val="20"/>
              </w:rPr>
              <w:t>0</w:t>
            </w:r>
            <w:r w:rsidR="00075D19" w:rsidRPr="008F4673">
              <w:rPr>
                <w:rFonts w:ascii="Arial" w:hAnsi="Arial" w:cs="Arial"/>
                <w:sz w:val="20"/>
                <w:szCs w:val="20"/>
              </w:rPr>
              <w:t>097.</w:t>
            </w:r>
            <w:r w:rsidR="00075D19" w:rsidRPr="005E293C">
              <w:rPr>
                <w:rFonts w:ascii="Arial" w:hAnsi="Arial" w:cs="Arial"/>
                <w:sz w:val="20"/>
                <w:szCs w:val="20"/>
              </w:rPr>
              <w:t>+</w:t>
            </w:r>
            <w:r w:rsidR="00075D19" w:rsidRPr="00975916">
              <w:rPr>
                <w:rFonts w:ascii="Arial" w:hAnsi="Arial" w:cs="Arial"/>
                <w:sz w:val="20"/>
                <w:szCs w:val="20"/>
              </w:rPr>
              <w:t xml:space="preserve"> </w:t>
            </w:r>
            <w:r w:rsidR="00FE38A5">
              <w:rPr>
                <w:rFonts w:ascii="Arial" w:hAnsi="Arial" w:cs="Arial"/>
                <w:sz w:val="20"/>
                <w:szCs w:val="20"/>
              </w:rPr>
              <w:t>0</w:t>
            </w:r>
            <w:r w:rsidR="00075D19" w:rsidRPr="00975916">
              <w:rPr>
                <w:rFonts w:ascii="Arial" w:hAnsi="Arial" w:cs="Arial"/>
                <w:sz w:val="20"/>
                <w:szCs w:val="20"/>
              </w:rPr>
              <w:t>142.</w:t>
            </w:r>
            <w:r w:rsidR="008451E8">
              <w:rPr>
                <w:rFonts w:ascii="Arial" w:hAnsi="Arial" w:cs="Arial"/>
                <w:sz w:val="20"/>
                <w:szCs w:val="20"/>
              </w:rPr>
              <w:t xml:space="preserve"> </w:t>
            </w:r>
            <w:r w:rsidR="00876DC8" w:rsidRPr="00975916">
              <w:rPr>
                <w:rFonts w:ascii="Arial" w:hAnsi="Arial" w:cs="Arial"/>
                <w:sz w:val="20"/>
                <w:szCs w:val="20"/>
              </w:rPr>
              <w:t>sor,</w:t>
            </w:r>
            <w:r w:rsidR="00075D19" w:rsidRPr="00975916">
              <w:rPr>
                <w:rFonts w:ascii="Arial" w:hAnsi="Arial" w:cs="Arial"/>
                <w:sz w:val="20"/>
                <w:szCs w:val="20"/>
              </w:rPr>
              <w:t xml:space="preserve"> </w:t>
            </w:r>
            <w:r w:rsidR="00FE38A5">
              <w:rPr>
                <w:rFonts w:ascii="Arial" w:hAnsi="Arial" w:cs="Arial"/>
                <w:sz w:val="20"/>
                <w:szCs w:val="20"/>
              </w:rPr>
              <w:t>0</w:t>
            </w:r>
            <w:r w:rsidR="00075D19" w:rsidRPr="00975916">
              <w:rPr>
                <w:rFonts w:ascii="Arial" w:hAnsi="Arial" w:cs="Arial"/>
                <w:sz w:val="20"/>
                <w:szCs w:val="20"/>
              </w:rPr>
              <w:t>010.</w:t>
            </w:r>
            <w:r w:rsidR="00075D19" w:rsidRPr="008B6DAB">
              <w:rPr>
                <w:rFonts w:ascii="Arial" w:hAnsi="Arial" w:cs="Arial"/>
                <w:sz w:val="20"/>
                <w:szCs w:val="20"/>
              </w:rPr>
              <w:t xml:space="preserve"> oszlop</w:t>
            </w:r>
          </w:p>
        </w:tc>
      </w:tr>
      <w:tr w:rsidR="002E2ADB" w:rsidRPr="00ED3820" w14:paraId="25F7880B" w14:textId="77777777" w:rsidTr="00D23413">
        <w:tc>
          <w:tcPr>
            <w:tcW w:w="1101" w:type="dxa"/>
            <w:shd w:val="clear" w:color="auto" w:fill="auto"/>
            <w:tcMar>
              <w:top w:w="85" w:type="dxa"/>
            </w:tcMar>
            <w:vAlign w:val="center"/>
          </w:tcPr>
          <w:p w14:paraId="77665BA4" w14:textId="3ECFA809" w:rsidR="002E2ADB" w:rsidRPr="00ED3820" w:rsidRDefault="002E2ADB" w:rsidP="002E2ADB">
            <w:pPr>
              <w:contextualSpacing/>
              <w:rPr>
                <w:rFonts w:ascii="Arial" w:hAnsi="Arial" w:cs="Arial"/>
                <w:sz w:val="20"/>
                <w:szCs w:val="20"/>
              </w:rPr>
            </w:pPr>
            <w:r w:rsidRPr="00ED3820">
              <w:rPr>
                <w:rFonts w:ascii="Arial" w:hAnsi="Arial" w:cs="Arial"/>
                <w:sz w:val="20"/>
                <w:szCs w:val="20"/>
              </w:rPr>
              <w:t>211</w:t>
            </w:r>
          </w:p>
        </w:tc>
        <w:tc>
          <w:tcPr>
            <w:tcW w:w="1215" w:type="dxa"/>
            <w:vAlign w:val="center"/>
          </w:tcPr>
          <w:p w14:paraId="2CD69E96" w14:textId="34344CF6" w:rsidR="002E2ADB" w:rsidRPr="00CA25FB" w:rsidRDefault="002E2ADB" w:rsidP="002E2ADB">
            <w:pPr>
              <w:contextualSpacing/>
              <w:rPr>
                <w:rFonts w:ascii="Arial" w:hAnsi="Arial" w:cs="Arial"/>
                <w:sz w:val="20"/>
                <w:szCs w:val="20"/>
              </w:rPr>
            </w:pPr>
            <w:r w:rsidRPr="00CA25FB">
              <w:rPr>
                <w:rFonts w:ascii="Arial" w:hAnsi="Arial" w:cs="Arial"/>
                <w:sz w:val="20"/>
                <w:szCs w:val="20"/>
              </w:rPr>
              <w:t>1.12.</w:t>
            </w:r>
          </w:p>
        </w:tc>
        <w:tc>
          <w:tcPr>
            <w:tcW w:w="3349" w:type="dxa"/>
            <w:shd w:val="clear" w:color="auto" w:fill="auto"/>
            <w:tcMar>
              <w:top w:w="85" w:type="dxa"/>
            </w:tcMar>
            <w:vAlign w:val="center"/>
          </w:tcPr>
          <w:p w14:paraId="408EABA5" w14:textId="41E04B41" w:rsidR="002E2ADB" w:rsidRPr="00ED2630" w:rsidRDefault="002E2ADB" w:rsidP="002E2ADB">
            <w:pPr>
              <w:contextualSpacing/>
              <w:rPr>
                <w:rFonts w:ascii="Arial" w:hAnsi="Arial" w:cs="Arial"/>
                <w:sz w:val="20"/>
                <w:szCs w:val="20"/>
              </w:rPr>
            </w:pPr>
            <w:r w:rsidRPr="00ED2630">
              <w:rPr>
                <w:rFonts w:ascii="Arial" w:hAnsi="Arial" w:cs="Arial"/>
                <w:sz w:val="20"/>
                <w:szCs w:val="20"/>
              </w:rPr>
              <w:t>Egyéb eszközök</w:t>
            </w:r>
          </w:p>
        </w:tc>
        <w:tc>
          <w:tcPr>
            <w:tcW w:w="3686" w:type="dxa"/>
            <w:shd w:val="clear" w:color="auto" w:fill="auto"/>
            <w:tcMar>
              <w:top w:w="85" w:type="dxa"/>
            </w:tcMar>
            <w:vAlign w:val="center"/>
          </w:tcPr>
          <w:p w14:paraId="3C5BB9E6" w14:textId="0615CAE6" w:rsidR="002E2ADB" w:rsidRPr="008F4673" w:rsidRDefault="001C77FE" w:rsidP="002E2ADB">
            <w:pPr>
              <w:contextualSpacing/>
              <w:rPr>
                <w:rFonts w:ascii="Arial" w:hAnsi="Arial" w:cs="Arial"/>
                <w:sz w:val="20"/>
                <w:szCs w:val="20"/>
              </w:rPr>
            </w:pPr>
            <w:r w:rsidRPr="00ED2630">
              <w:rPr>
                <w:rFonts w:ascii="Arial" w:hAnsi="Arial" w:cs="Arial"/>
                <w:sz w:val="20"/>
                <w:szCs w:val="20"/>
              </w:rPr>
              <w:t>211 =</w:t>
            </w:r>
            <w:r w:rsidR="008451E8">
              <w:rPr>
                <w:rFonts w:ascii="Arial" w:hAnsi="Arial" w:cs="Arial"/>
                <w:sz w:val="20"/>
                <w:szCs w:val="20"/>
              </w:rPr>
              <w:t xml:space="preserve"> </w:t>
            </w:r>
            <w:r w:rsidRPr="00ED2630">
              <w:rPr>
                <w:rFonts w:ascii="Arial" w:hAnsi="Arial" w:cs="Arial"/>
                <w:sz w:val="20"/>
                <w:szCs w:val="20"/>
              </w:rPr>
              <w:t>220 -</w:t>
            </w:r>
            <w:r w:rsidRPr="006E162A">
              <w:rPr>
                <w:rFonts w:ascii="Arial" w:hAnsi="Arial" w:cs="Arial"/>
                <w:sz w:val="20"/>
                <w:szCs w:val="20"/>
              </w:rPr>
              <w:t xml:space="preserve"> </w:t>
            </w:r>
            <w:r w:rsidRPr="006521E4">
              <w:rPr>
                <w:rFonts w:ascii="Arial" w:hAnsi="Arial" w:cs="Arial"/>
                <w:sz w:val="20"/>
                <w:szCs w:val="20"/>
              </w:rPr>
              <w:t xml:space="preserve">010 </w:t>
            </w:r>
            <w:r w:rsidRPr="00B857E2">
              <w:rPr>
                <w:rFonts w:ascii="Arial" w:hAnsi="Arial" w:cs="Arial"/>
                <w:sz w:val="20"/>
                <w:szCs w:val="20"/>
              </w:rPr>
              <w:t>- 020</w:t>
            </w:r>
            <w:r w:rsidRPr="00AC28EE">
              <w:rPr>
                <w:rFonts w:ascii="Arial" w:hAnsi="Arial" w:cs="Arial"/>
                <w:sz w:val="20"/>
                <w:szCs w:val="20"/>
              </w:rPr>
              <w:t xml:space="preserve"> - 030 – 100 – 1</w:t>
            </w:r>
            <w:r w:rsidRPr="00B02133">
              <w:rPr>
                <w:rFonts w:ascii="Arial" w:hAnsi="Arial" w:cs="Arial"/>
                <w:sz w:val="20"/>
                <w:szCs w:val="20"/>
              </w:rPr>
              <w:t xml:space="preserve">90 </w:t>
            </w:r>
            <w:r w:rsidRPr="00617806">
              <w:rPr>
                <w:rFonts w:ascii="Arial" w:hAnsi="Arial" w:cs="Arial"/>
                <w:sz w:val="20"/>
                <w:szCs w:val="20"/>
              </w:rPr>
              <w:t>–</w:t>
            </w:r>
            <w:r w:rsidRPr="008040B5">
              <w:rPr>
                <w:rFonts w:ascii="Arial" w:hAnsi="Arial" w:cs="Arial"/>
                <w:sz w:val="20"/>
                <w:szCs w:val="20"/>
              </w:rPr>
              <w:t xml:space="preserve"> 195 </w:t>
            </w:r>
            <w:r w:rsidR="008451E8">
              <w:rPr>
                <w:rFonts w:ascii="Arial" w:hAnsi="Arial" w:cs="Arial"/>
                <w:sz w:val="20"/>
                <w:szCs w:val="20"/>
              </w:rPr>
              <w:t>-</w:t>
            </w:r>
            <w:r w:rsidRPr="008F4673">
              <w:rPr>
                <w:rFonts w:ascii="Arial" w:hAnsi="Arial" w:cs="Arial"/>
                <w:sz w:val="20"/>
                <w:szCs w:val="20"/>
              </w:rPr>
              <w:t xml:space="preserve"> 197</w:t>
            </w:r>
            <w:r w:rsidR="008451E8">
              <w:rPr>
                <w:rFonts w:ascii="Arial" w:hAnsi="Arial" w:cs="Arial"/>
                <w:sz w:val="20"/>
                <w:szCs w:val="20"/>
              </w:rPr>
              <w:t xml:space="preserve"> </w:t>
            </w:r>
            <w:r w:rsidRPr="008F4673">
              <w:rPr>
                <w:rFonts w:ascii="Arial" w:hAnsi="Arial" w:cs="Arial"/>
                <w:sz w:val="20"/>
                <w:szCs w:val="20"/>
              </w:rPr>
              <w:t>- 200</w:t>
            </w:r>
            <w:r w:rsidR="008451E8">
              <w:rPr>
                <w:rFonts w:ascii="Arial" w:hAnsi="Arial" w:cs="Arial"/>
                <w:sz w:val="20"/>
                <w:szCs w:val="20"/>
              </w:rPr>
              <w:t xml:space="preserve"> –</w:t>
            </w:r>
            <w:r w:rsidRPr="008F4673">
              <w:rPr>
                <w:rFonts w:ascii="Arial" w:hAnsi="Arial" w:cs="Arial"/>
                <w:sz w:val="20"/>
                <w:szCs w:val="20"/>
              </w:rPr>
              <w:t xml:space="preserve"> 205</w:t>
            </w:r>
            <w:r w:rsidR="008451E8">
              <w:rPr>
                <w:rFonts w:ascii="Arial" w:hAnsi="Arial" w:cs="Arial"/>
                <w:sz w:val="20"/>
                <w:szCs w:val="20"/>
              </w:rPr>
              <w:t xml:space="preserve"> </w:t>
            </w:r>
            <w:r w:rsidRPr="008F4673">
              <w:rPr>
                <w:rFonts w:ascii="Arial" w:hAnsi="Arial" w:cs="Arial"/>
                <w:sz w:val="20"/>
                <w:szCs w:val="20"/>
              </w:rPr>
              <w:t>-</w:t>
            </w:r>
            <w:r w:rsidR="008451E8">
              <w:rPr>
                <w:rFonts w:ascii="Arial" w:hAnsi="Arial" w:cs="Arial"/>
                <w:sz w:val="20"/>
                <w:szCs w:val="20"/>
              </w:rPr>
              <w:t xml:space="preserve"> </w:t>
            </w:r>
            <w:r w:rsidRPr="008F4673">
              <w:rPr>
                <w:rFonts w:ascii="Arial" w:hAnsi="Arial" w:cs="Arial"/>
                <w:sz w:val="20"/>
                <w:szCs w:val="20"/>
              </w:rPr>
              <w:t>207</w:t>
            </w:r>
          </w:p>
        </w:tc>
      </w:tr>
      <w:tr w:rsidR="002E2ADB" w:rsidRPr="00ED3820" w14:paraId="3B37F186" w14:textId="77777777" w:rsidTr="00D23413">
        <w:tc>
          <w:tcPr>
            <w:tcW w:w="1101" w:type="dxa"/>
            <w:shd w:val="clear" w:color="auto" w:fill="auto"/>
            <w:tcMar>
              <w:top w:w="85" w:type="dxa"/>
            </w:tcMar>
            <w:vAlign w:val="center"/>
          </w:tcPr>
          <w:p w14:paraId="6AFDEE06" w14:textId="77777777" w:rsidR="002E2ADB" w:rsidRPr="00ED3820" w:rsidRDefault="002E2ADB" w:rsidP="002E2ADB">
            <w:pPr>
              <w:contextualSpacing/>
              <w:rPr>
                <w:rFonts w:ascii="Arial" w:hAnsi="Arial" w:cs="Arial"/>
                <w:sz w:val="20"/>
                <w:szCs w:val="20"/>
              </w:rPr>
            </w:pPr>
            <w:r w:rsidRPr="00ED3820">
              <w:rPr>
                <w:rFonts w:ascii="Arial" w:hAnsi="Arial" w:cs="Arial"/>
                <w:sz w:val="20"/>
                <w:szCs w:val="20"/>
              </w:rPr>
              <w:t>220</w:t>
            </w:r>
          </w:p>
        </w:tc>
        <w:tc>
          <w:tcPr>
            <w:tcW w:w="1215" w:type="dxa"/>
            <w:vAlign w:val="center"/>
          </w:tcPr>
          <w:p w14:paraId="2AA149F4" w14:textId="63EA3895" w:rsidR="002E2ADB" w:rsidRPr="00ED3820" w:rsidRDefault="002E2ADB" w:rsidP="002E2ADB">
            <w:pPr>
              <w:contextualSpacing/>
              <w:rPr>
                <w:rFonts w:ascii="Arial" w:hAnsi="Arial" w:cs="Arial"/>
                <w:sz w:val="20"/>
                <w:szCs w:val="20"/>
              </w:rPr>
            </w:pPr>
            <w:r w:rsidRPr="00CA25FB">
              <w:rPr>
                <w:rFonts w:ascii="Arial" w:hAnsi="Arial" w:cs="Arial"/>
                <w:sz w:val="20"/>
                <w:szCs w:val="20"/>
              </w:rPr>
              <w:t>1.</w:t>
            </w:r>
            <w:r w:rsidRPr="00ED3820">
              <w:rPr>
                <w:rFonts w:ascii="Arial" w:hAnsi="Arial" w:cs="Arial"/>
                <w:sz w:val="20"/>
                <w:szCs w:val="20"/>
              </w:rPr>
              <w:t>13.</w:t>
            </w:r>
          </w:p>
        </w:tc>
        <w:tc>
          <w:tcPr>
            <w:tcW w:w="3349" w:type="dxa"/>
            <w:shd w:val="clear" w:color="auto" w:fill="auto"/>
            <w:tcMar>
              <w:top w:w="85" w:type="dxa"/>
            </w:tcMar>
            <w:vAlign w:val="center"/>
          </w:tcPr>
          <w:p w14:paraId="089ECD2B" w14:textId="77777777" w:rsidR="002E2ADB" w:rsidRPr="00ED3820" w:rsidRDefault="002E2ADB" w:rsidP="002E2ADB">
            <w:pPr>
              <w:contextualSpacing/>
              <w:rPr>
                <w:rFonts w:ascii="Arial" w:hAnsi="Arial" w:cs="Arial"/>
                <w:sz w:val="20"/>
                <w:szCs w:val="20"/>
              </w:rPr>
            </w:pPr>
            <w:r w:rsidRPr="00ED3820">
              <w:rPr>
                <w:rFonts w:ascii="Arial" w:hAnsi="Arial" w:cs="Arial"/>
                <w:sz w:val="20"/>
                <w:szCs w:val="20"/>
              </w:rPr>
              <w:t>Eszközök összesen</w:t>
            </w:r>
          </w:p>
        </w:tc>
        <w:tc>
          <w:tcPr>
            <w:tcW w:w="3686" w:type="dxa"/>
            <w:shd w:val="clear" w:color="auto" w:fill="auto"/>
            <w:tcMar>
              <w:top w:w="85" w:type="dxa"/>
            </w:tcMar>
            <w:vAlign w:val="center"/>
          </w:tcPr>
          <w:p w14:paraId="4F318E96" w14:textId="7DA9B3E3" w:rsidR="002E2ADB" w:rsidRPr="00ED3820" w:rsidRDefault="00391AC4" w:rsidP="00C07C1B">
            <w:pPr>
              <w:contextualSpacing/>
              <w:jc w:val="both"/>
              <w:rPr>
                <w:rFonts w:ascii="Arial" w:hAnsi="Arial" w:cs="Arial"/>
                <w:sz w:val="20"/>
                <w:szCs w:val="20"/>
              </w:rPr>
            </w:pPr>
            <w:r>
              <w:rPr>
                <w:rFonts w:ascii="Arial" w:hAnsi="Arial" w:cs="Arial"/>
                <w:sz w:val="20"/>
                <w:szCs w:val="20"/>
              </w:rPr>
              <w:t>(EU) 2021/451</w:t>
            </w:r>
            <w:r w:rsidR="002E2ADB" w:rsidRPr="00ED3820">
              <w:rPr>
                <w:rFonts w:ascii="Arial" w:hAnsi="Arial" w:cs="Arial"/>
                <w:sz w:val="20"/>
                <w:szCs w:val="20"/>
              </w:rPr>
              <w:t xml:space="preserve"> bizottsági végrehajtási rendelet </w:t>
            </w:r>
            <w:r w:rsidR="007E5EF5" w:rsidRPr="00ED3820">
              <w:rPr>
                <w:rFonts w:ascii="Arial" w:hAnsi="Arial" w:cs="Arial"/>
                <w:sz w:val="20"/>
                <w:szCs w:val="20"/>
              </w:rPr>
              <w:t xml:space="preserve">III. </w:t>
            </w:r>
            <w:r w:rsidR="002E2ADB" w:rsidRPr="00ED3820">
              <w:rPr>
                <w:rFonts w:ascii="Arial" w:hAnsi="Arial" w:cs="Arial"/>
                <w:sz w:val="20"/>
                <w:szCs w:val="20"/>
              </w:rPr>
              <w:t xml:space="preserve">melléklet F 01.01. tábla, </w:t>
            </w:r>
            <w:r w:rsidR="00FE38A5">
              <w:rPr>
                <w:rFonts w:ascii="Arial" w:hAnsi="Arial" w:cs="Arial"/>
                <w:sz w:val="20"/>
                <w:szCs w:val="20"/>
              </w:rPr>
              <w:t>0</w:t>
            </w:r>
            <w:r w:rsidR="002E2ADB" w:rsidRPr="00ED3820">
              <w:rPr>
                <w:rFonts w:ascii="Arial" w:hAnsi="Arial" w:cs="Arial"/>
                <w:sz w:val="20"/>
                <w:szCs w:val="20"/>
              </w:rPr>
              <w:t xml:space="preserve">380. sor, </w:t>
            </w:r>
            <w:r w:rsidR="00FE38A5">
              <w:rPr>
                <w:rFonts w:ascii="Arial" w:hAnsi="Arial" w:cs="Arial"/>
                <w:sz w:val="20"/>
                <w:szCs w:val="20"/>
              </w:rPr>
              <w:t>0</w:t>
            </w:r>
            <w:r w:rsidR="002E2ADB" w:rsidRPr="00ED3820">
              <w:rPr>
                <w:rFonts w:ascii="Arial" w:hAnsi="Arial" w:cs="Arial"/>
                <w:sz w:val="20"/>
                <w:szCs w:val="20"/>
              </w:rPr>
              <w:t>010. oszlop</w:t>
            </w:r>
          </w:p>
        </w:tc>
      </w:tr>
      <w:tr w:rsidR="002E2ADB" w:rsidRPr="00ED3820" w14:paraId="2F9EB27A" w14:textId="77777777" w:rsidTr="00D23413">
        <w:trPr>
          <w:trHeight w:val="2846"/>
        </w:trPr>
        <w:tc>
          <w:tcPr>
            <w:tcW w:w="1101" w:type="dxa"/>
            <w:shd w:val="clear" w:color="auto" w:fill="auto"/>
            <w:tcMar>
              <w:top w:w="85" w:type="dxa"/>
            </w:tcMar>
            <w:vAlign w:val="center"/>
          </w:tcPr>
          <w:p w14:paraId="6C398422" w14:textId="77777777" w:rsidR="002E2ADB" w:rsidRPr="00ED3820" w:rsidRDefault="002E2ADB" w:rsidP="002E2ADB">
            <w:pPr>
              <w:contextualSpacing/>
              <w:rPr>
                <w:rFonts w:ascii="Arial" w:hAnsi="Arial" w:cs="Arial"/>
                <w:sz w:val="20"/>
                <w:szCs w:val="20"/>
              </w:rPr>
            </w:pPr>
            <w:r w:rsidRPr="00ED3820">
              <w:rPr>
                <w:rFonts w:ascii="Arial" w:hAnsi="Arial" w:cs="Arial"/>
                <w:sz w:val="20"/>
                <w:szCs w:val="20"/>
              </w:rPr>
              <w:t>230</w:t>
            </w:r>
          </w:p>
        </w:tc>
        <w:tc>
          <w:tcPr>
            <w:tcW w:w="1215" w:type="dxa"/>
            <w:vAlign w:val="center"/>
          </w:tcPr>
          <w:p w14:paraId="758F001D" w14:textId="3BECC667" w:rsidR="002E2ADB" w:rsidRPr="00ED2630" w:rsidRDefault="002E2ADB" w:rsidP="002E2ADB">
            <w:pPr>
              <w:contextualSpacing/>
              <w:rPr>
                <w:rFonts w:ascii="Arial" w:hAnsi="Arial" w:cs="Arial"/>
                <w:sz w:val="20"/>
                <w:szCs w:val="20"/>
              </w:rPr>
            </w:pPr>
            <w:r w:rsidRPr="00CA25FB">
              <w:rPr>
                <w:rFonts w:ascii="Arial" w:hAnsi="Arial" w:cs="Arial"/>
                <w:sz w:val="20"/>
                <w:szCs w:val="20"/>
              </w:rPr>
              <w:t>2.1.</w:t>
            </w:r>
          </w:p>
        </w:tc>
        <w:tc>
          <w:tcPr>
            <w:tcW w:w="3349" w:type="dxa"/>
            <w:shd w:val="clear" w:color="auto" w:fill="auto"/>
            <w:tcMar>
              <w:top w:w="85" w:type="dxa"/>
            </w:tcMar>
            <w:vAlign w:val="center"/>
          </w:tcPr>
          <w:p w14:paraId="0A044ACE" w14:textId="5A1AFC48" w:rsidR="002E2ADB" w:rsidRPr="00ED2630" w:rsidRDefault="002E2ADB" w:rsidP="002E2ADB">
            <w:pPr>
              <w:contextualSpacing/>
              <w:rPr>
                <w:rFonts w:ascii="Arial" w:hAnsi="Arial" w:cs="Arial"/>
                <w:sz w:val="20"/>
                <w:szCs w:val="20"/>
              </w:rPr>
            </w:pPr>
            <w:r w:rsidRPr="00ED2630">
              <w:rPr>
                <w:rFonts w:ascii="Arial" w:hAnsi="Arial" w:cs="Arial"/>
                <w:sz w:val="20"/>
                <w:szCs w:val="20"/>
              </w:rPr>
              <w:t>Folyósítási kötelezettséggel járó, le nem hívott hitelkeretek</w:t>
            </w:r>
          </w:p>
        </w:tc>
        <w:tc>
          <w:tcPr>
            <w:tcW w:w="3686" w:type="dxa"/>
            <w:shd w:val="clear" w:color="auto" w:fill="auto"/>
            <w:tcMar>
              <w:top w:w="85" w:type="dxa"/>
            </w:tcMar>
            <w:vAlign w:val="center"/>
          </w:tcPr>
          <w:p w14:paraId="4FE4D903" w14:textId="6E178C07" w:rsidR="000A1D6E" w:rsidRPr="008451E8" w:rsidRDefault="00D2613E" w:rsidP="00225B54">
            <w:pPr>
              <w:pStyle w:val="Default"/>
              <w:spacing w:before="143" w:after="143"/>
              <w:jc w:val="both"/>
              <w:rPr>
                <w:rFonts w:ascii="Arial" w:hAnsi="Arial" w:cs="Arial"/>
                <w:sz w:val="20"/>
                <w:szCs w:val="20"/>
              </w:rPr>
            </w:pPr>
            <w:r>
              <w:rPr>
                <w:rFonts w:ascii="Arial" w:hAnsi="Arial" w:cs="Arial"/>
                <w:sz w:val="20"/>
                <w:szCs w:val="20"/>
              </w:rPr>
              <w:t>(EU) 2021/451</w:t>
            </w:r>
            <w:r w:rsidRPr="00ED3820">
              <w:rPr>
                <w:rFonts w:ascii="Arial" w:hAnsi="Arial" w:cs="Arial"/>
                <w:sz w:val="20"/>
                <w:szCs w:val="20"/>
              </w:rPr>
              <w:t xml:space="preserve"> </w:t>
            </w:r>
            <w:r w:rsidR="00833C68">
              <w:rPr>
                <w:rFonts w:ascii="Arial" w:hAnsi="Arial" w:cs="Arial"/>
                <w:sz w:val="20"/>
                <w:szCs w:val="20"/>
              </w:rPr>
              <w:t>bizottsági végrehajtási</w:t>
            </w:r>
            <w:r w:rsidR="009D0912">
              <w:rPr>
                <w:rFonts w:ascii="Arial" w:hAnsi="Arial" w:cs="Arial"/>
                <w:sz w:val="20"/>
                <w:szCs w:val="20"/>
              </w:rPr>
              <w:t xml:space="preserve"> </w:t>
            </w:r>
            <w:r w:rsidR="000A1D6E" w:rsidRPr="008451E8">
              <w:rPr>
                <w:rFonts w:ascii="Arial" w:hAnsi="Arial" w:cs="Arial"/>
                <w:sz w:val="20"/>
                <w:szCs w:val="20"/>
              </w:rPr>
              <w:t xml:space="preserve">rendelet V. melléklet 2. rész 113. </w:t>
            </w:r>
            <w:r w:rsidR="00833C68">
              <w:rPr>
                <w:rFonts w:ascii="Arial" w:hAnsi="Arial" w:cs="Arial"/>
                <w:sz w:val="20"/>
                <w:szCs w:val="20"/>
              </w:rPr>
              <w:t>pont</w:t>
            </w:r>
            <w:r w:rsidR="000A1D6E" w:rsidRPr="008451E8">
              <w:rPr>
                <w:rFonts w:ascii="Arial" w:hAnsi="Arial" w:cs="Arial"/>
                <w:sz w:val="20"/>
                <w:szCs w:val="20"/>
              </w:rPr>
              <w:t xml:space="preserve"> b) </w:t>
            </w:r>
            <w:r w:rsidR="006B36F4">
              <w:rPr>
                <w:rFonts w:ascii="Arial" w:hAnsi="Arial" w:cs="Arial"/>
                <w:sz w:val="20"/>
                <w:szCs w:val="20"/>
              </w:rPr>
              <w:t>al</w:t>
            </w:r>
            <w:r w:rsidR="000A1D6E" w:rsidRPr="008451E8">
              <w:rPr>
                <w:rFonts w:ascii="Arial" w:hAnsi="Arial" w:cs="Arial"/>
                <w:sz w:val="20"/>
                <w:szCs w:val="20"/>
              </w:rPr>
              <w:t>pont</w:t>
            </w:r>
            <w:r w:rsidR="00343474">
              <w:rPr>
                <w:rFonts w:ascii="Arial" w:hAnsi="Arial" w:cs="Arial"/>
                <w:sz w:val="20"/>
                <w:szCs w:val="20"/>
              </w:rPr>
              <w:t>.</w:t>
            </w:r>
            <w:r w:rsidR="000A1D6E" w:rsidRPr="008451E8">
              <w:rPr>
                <w:rFonts w:ascii="Arial" w:hAnsi="Arial" w:cs="Arial"/>
                <w:sz w:val="20"/>
                <w:szCs w:val="20"/>
              </w:rPr>
              <w:t xml:space="preserve"> </w:t>
            </w:r>
          </w:p>
          <w:p w14:paraId="61B67476" w14:textId="735167A4" w:rsidR="002E2ADB" w:rsidRPr="008B6DAB" w:rsidRDefault="00D2613E" w:rsidP="009B1F6C">
            <w:pPr>
              <w:contextualSpacing/>
              <w:jc w:val="both"/>
              <w:rPr>
                <w:rFonts w:ascii="Arial" w:hAnsi="Arial" w:cs="Arial"/>
                <w:sz w:val="20"/>
                <w:szCs w:val="20"/>
              </w:rPr>
            </w:pPr>
            <w:r>
              <w:rPr>
                <w:rFonts w:ascii="Arial" w:hAnsi="Arial" w:cs="Arial"/>
                <w:sz w:val="20"/>
                <w:szCs w:val="20"/>
              </w:rPr>
              <w:t>(EU) 2021/451</w:t>
            </w:r>
            <w:r w:rsidRPr="00ED3820">
              <w:rPr>
                <w:rFonts w:ascii="Arial" w:hAnsi="Arial" w:cs="Arial"/>
                <w:sz w:val="20"/>
                <w:szCs w:val="20"/>
              </w:rPr>
              <w:t xml:space="preserve"> </w:t>
            </w:r>
            <w:r w:rsidR="002E2ADB" w:rsidRPr="00ED3820">
              <w:rPr>
                <w:rFonts w:ascii="Arial" w:hAnsi="Arial" w:cs="Arial"/>
                <w:sz w:val="20"/>
                <w:szCs w:val="20"/>
              </w:rPr>
              <w:t>bizottsági végrehajtási rendelet</w:t>
            </w:r>
            <w:r w:rsidR="002E2ADB" w:rsidRPr="00CA25FB">
              <w:rPr>
                <w:rFonts w:ascii="Arial" w:hAnsi="Arial" w:cs="Arial"/>
                <w:sz w:val="20"/>
                <w:szCs w:val="20"/>
              </w:rPr>
              <w:t xml:space="preserve"> IV. melléklet F </w:t>
            </w:r>
            <w:r w:rsidR="002E2ADB" w:rsidRPr="00ED2630">
              <w:rPr>
                <w:rFonts w:ascii="Arial" w:hAnsi="Arial" w:cs="Arial"/>
                <w:sz w:val="20"/>
                <w:szCs w:val="20"/>
              </w:rPr>
              <w:t xml:space="preserve">09.01.1. tábla, </w:t>
            </w:r>
            <w:r w:rsidR="000B2AF4">
              <w:rPr>
                <w:rFonts w:ascii="Arial" w:hAnsi="Arial" w:cs="Arial"/>
                <w:sz w:val="20"/>
                <w:szCs w:val="20"/>
              </w:rPr>
              <w:t>0</w:t>
            </w:r>
            <w:r w:rsidR="002E2ADB" w:rsidRPr="00ED2630">
              <w:rPr>
                <w:rFonts w:ascii="Arial" w:hAnsi="Arial" w:cs="Arial"/>
                <w:sz w:val="20"/>
                <w:szCs w:val="20"/>
              </w:rPr>
              <w:t xml:space="preserve">010. sor, </w:t>
            </w:r>
            <w:r w:rsidR="000B2AF4">
              <w:rPr>
                <w:rFonts w:ascii="Arial" w:hAnsi="Arial" w:cs="Arial"/>
                <w:sz w:val="20"/>
                <w:szCs w:val="20"/>
              </w:rPr>
              <w:t>0</w:t>
            </w:r>
            <w:r w:rsidR="002E2ADB" w:rsidRPr="00ED2630">
              <w:rPr>
                <w:rFonts w:ascii="Arial" w:hAnsi="Arial" w:cs="Arial"/>
                <w:sz w:val="20"/>
                <w:szCs w:val="20"/>
              </w:rPr>
              <w:t>010.+</w:t>
            </w:r>
            <w:r w:rsidR="000B2AF4">
              <w:rPr>
                <w:rFonts w:ascii="Arial" w:hAnsi="Arial" w:cs="Arial"/>
                <w:sz w:val="20"/>
                <w:szCs w:val="20"/>
              </w:rPr>
              <w:t>0</w:t>
            </w:r>
            <w:r w:rsidR="002E2ADB" w:rsidRPr="00ED2630">
              <w:rPr>
                <w:rFonts w:ascii="Arial" w:hAnsi="Arial" w:cs="Arial"/>
                <w:sz w:val="20"/>
                <w:szCs w:val="20"/>
              </w:rPr>
              <w:t>020.+</w:t>
            </w:r>
            <w:r w:rsidR="000B2AF4">
              <w:rPr>
                <w:rFonts w:ascii="Arial" w:hAnsi="Arial" w:cs="Arial"/>
                <w:sz w:val="20"/>
                <w:szCs w:val="20"/>
              </w:rPr>
              <w:t>0</w:t>
            </w:r>
            <w:r w:rsidR="002E2ADB" w:rsidRPr="006E162A">
              <w:rPr>
                <w:rFonts w:ascii="Arial" w:hAnsi="Arial" w:cs="Arial"/>
                <w:sz w:val="20"/>
                <w:szCs w:val="20"/>
              </w:rPr>
              <w:t>030</w:t>
            </w:r>
            <w:r w:rsidR="002E2ADB" w:rsidRPr="006521E4">
              <w:rPr>
                <w:rFonts w:ascii="Arial" w:hAnsi="Arial" w:cs="Arial"/>
                <w:sz w:val="20"/>
                <w:szCs w:val="20"/>
              </w:rPr>
              <w:t>.+</w:t>
            </w:r>
            <w:r w:rsidR="000B2AF4">
              <w:rPr>
                <w:rFonts w:ascii="Arial" w:hAnsi="Arial" w:cs="Arial"/>
                <w:sz w:val="20"/>
                <w:szCs w:val="20"/>
              </w:rPr>
              <w:t>0</w:t>
            </w:r>
            <w:r w:rsidR="002E2ADB" w:rsidRPr="006521E4">
              <w:rPr>
                <w:rFonts w:ascii="Arial" w:hAnsi="Arial" w:cs="Arial"/>
                <w:sz w:val="20"/>
                <w:szCs w:val="20"/>
              </w:rPr>
              <w:t>100</w:t>
            </w:r>
            <w:r w:rsidR="002E2ADB" w:rsidRPr="00B857E2">
              <w:rPr>
                <w:rFonts w:ascii="Arial" w:hAnsi="Arial" w:cs="Arial"/>
                <w:sz w:val="20"/>
                <w:szCs w:val="20"/>
              </w:rPr>
              <w:t>.+</w:t>
            </w:r>
            <w:r w:rsidR="000B2AF4">
              <w:rPr>
                <w:rFonts w:ascii="Arial" w:hAnsi="Arial" w:cs="Arial"/>
                <w:sz w:val="20"/>
                <w:szCs w:val="20"/>
              </w:rPr>
              <w:t>0</w:t>
            </w:r>
            <w:r w:rsidR="002E2ADB" w:rsidRPr="00AC28EE">
              <w:rPr>
                <w:rFonts w:ascii="Arial" w:hAnsi="Arial" w:cs="Arial"/>
                <w:sz w:val="20"/>
                <w:szCs w:val="20"/>
              </w:rPr>
              <w:t>120. oszlop kivéve a</w:t>
            </w:r>
            <w:r>
              <w:rPr>
                <w:rFonts w:ascii="Arial" w:hAnsi="Arial" w:cs="Arial"/>
                <w:sz w:val="20"/>
                <w:szCs w:val="20"/>
              </w:rPr>
              <w:t>z</w:t>
            </w:r>
            <w:r w:rsidR="002E2ADB" w:rsidRPr="00AC28EE">
              <w:rPr>
                <w:rFonts w:ascii="Arial" w:hAnsi="Arial" w:cs="Arial"/>
                <w:sz w:val="20"/>
                <w:szCs w:val="20"/>
              </w:rPr>
              <w:t xml:space="preserve"> </w:t>
            </w:r>
            <w:r>
              <w:rPr>
                <w:rFonts w:ascii="Arial" w:hAnsi="Arial" w:cs="Arial"/>
                <w:sz w:val="20"/>
                <w:szCs w:val="20"/>
              </w:rPr>
              <w:t>(EU) 2021/451</w:t>
            </w:r>
            <w:r w:rsidRPr="00ED3820">
              <w:rPr>
                <w:rFonts w:ascii="Arial" w:hAnsi="Arial" w:cs="Arial"/>
                <w:sz w:val="20"/>
                <w:szCs w:val="20"/>
              </w:rPr>
              <w:t xml:space="preserve"> </w:t>
            </w:r>
            <w:r w:rsidR="002E2ADB" w:rsidRPr="008F4673">
              <w:rPr>
                <w:rFonts w:ascii="Arial" w:hAnsi="Arial" w:cs="Arial"/>
                <w:sz w:val="20"/>
                <w:szCs w:val="20"/>
              </w:rPr>
              <w:t xml:space="preserve">bizottsági végrehajtási rendelet V. melléklet 2. rész </w:t>
            </w:r>
            <w:r w:rsidR="002E2ADB" w:rsidRPr="005E293C">
              <w:rPr>
                <w:rFonts w:ascii="Arial" w:hAnsi="Arial" w:cs="Arial"/>
                <w:sz w:val="20"/>
                <w:szCs w:val="20"/>
              </w:rPr>
              <w:t>113</w:t>
            </w:r>
            <w:r w:rsidR="002E2ADB" w:rsidRPr="00975916">
              <w:rPr>
                <w:rFonts w:ascii="Arial" w:hAnsi="Arial" w:cs="Arial"/>
                <w:sz w:val="20"/>
                <w:szCs w:val="20"/>
              </w:rPr>
              <w:t xml:space="preserve">. pont </w:t>
            </w:r>
            <w:r w:rsidR="000A1D6E" w:rsidRPr="00975916">
              <w:rPr>
                <w:rFonts w:ascii="Arial" w:hAnsi="Arial" w:cs="Arial"/>
                <w:sz w:val="20"/>
                <w:szCs w:val="20"/>
              </w:rPr>
              <w:t>a</w:t>
            </w:r>
            <w:r w:rsidR="005E532E" w:rsidRPr="00975916">
              <w:rPr>
                <w:rFonts w:ascii="Arial" w:hAnsi="Arial" w:cs="Arial"/>
                <w:sz w:val="20"/>
                <w:szCs w:val="20"/>
              </w:rPr>
              <w:t>)</w:t>
            </w:r>
            <w:r w:rsidR="000A1D6E" w:rsidRPr="00975916">
              <w:rPr>
                <w:rFonts w:ascii="Arial" w:hAnsi="Arial" w:cs="Arial"/>
                <w:sz w:val="20"/>
                <w:szCs w:val="20"/>
              </w:rPr>
              <w:t xml:space="preserve"> </w:t>
            </w:r>
            <w:r w:rsidR="002E2ADB" w:rsidRPr="00975916">
              <w:rPr>
                <w:rFonts w:ascii="Arial" w:hAnsi="Arial" w:cs="Arial"/>
                <w:sz w:val="20"/>
                <w:szCs w:val="20"/>
              </w:rPr>
              <w:t xml:space="preserve">alpontjában meghatározott határidős betétügyletek </w:t>
            </w:r>
          </w:p>
        </w:tc>
      </w:tr>
      <w:tr w:rsidR="002E2ADB" w:rsidRPr="00ED3820" w14:paraId="756E9804" w14:textId="77777777" w:rsidTr="00D23413">
        <w:trPr>
          <w:trHeight w:val="1042"/>
        </w:trPr>
        <w:tc>
          <w:tcPr>
            <w:tcW w:w="1101" w:type="dxa"/>
            <w:shd w:val="clear" w:color="auto" w:fill="auto"/>
            <w:tcMar>
              <w:top w:w="85" w:type="dxa"/>
            </w:tcMar>
            <w:vAlign w:val="center"/>
          </w:tcPr>
          <w:p w14:paraId="7631C377" w14:textId="77777777" w:rsidR="002E2ADB" w:rsidRPr="00ED3820" w:rsidRDefault="002E2ADB" w:rsidP="002E2ADB">
            <w:pPr>
              <w:contextualSpacing/>
              <w:rPr>
                <w:rFonts w:ascii="Arial" w:hAnsi="Arial" w:cs="Arial"/>
                <w:sz w:val="20"/>
                <w:szCs w:val="20"/>
              </w:rPr>
            </w:pPr>
            <w:r w:rsidRPr="00ED3820">
              <w:rPr>
                <w:rFonts w:ascii="Arial" w:hAnsi="Arial" w:cs="Arial"/>
                <w:sz w:val="20"/>
                <w:szCs w:val="20"/>
              </w:rPr>
              <w:lastRenderedPageBreak/>
              <w:t>240</w:t>
            </w:r>
          </w:p>
        </w:tc>
        <w:tc>
          <w:tcPr>
            <w:tcW w:w="1215" w:type="dxa"/>
            <w:vAlign w:val="center"/>
          </w:tcPr>
          <w:p w14:paraId="6E24A191" w14:textId="60184029" w:rsidR="002E2ADB" w:rsidRPr="00ED2630" w:rsidRDefault="002E2ADB" w:rsidP="002E2ADB">
            <w:pPr>
              <w:contextualSpacing/>
              <w:rPr>
                <w:rFonts w:ascii="Arial" w:hAnsi="Arial" w:cs="Arial"/>
                <w:sz w:val="20"/>
                <w:szCs w:val="20"/>
              </w:rPr>
            </w:pPr>
            <w:r w:rsidRPr="00CA25FB">
              <w:rPr>
                <w:rFonts w:ascii="Arial" w:hAnsi="Arial" w:cs="Arial"/>
                <w:sz w:val="20"/>
                <w:szCs w:val="20"/>
              </w:rPr>
              <w:t>3.1</w:t>
            </w:r>
            <w:r w:rsidR="008451E8">
              <w:rPr>
                <w:rFonts w:ascii="Arial" w:hAnsi="Arial" w:cs="Arial"/>
                <w:sz w:val="20"/>
                <w:szCs w:val="20"/>
              </w:rPr>
              <w:t>.</w:t>
            </w:r>
          </w:p>
        </w:tc>
        <w:tc>
          <w:tcPr>
            <w:tcW w:w="3349" w:type="dxa"/>
            <w:shd w:val="clear" w:color="auto" w:fill="auto"/>
            <w:tcMar>
              <w:top w:w="85" w:type="dxa"/>
            </w:tcMar>
            <w:vAlign w:val="center"/>
          </w:tcPr>
          <w:p w14:paraId="0E5722E7" w14:textId="1E151FA1" w:rsidR="002E2ADB" w:rsidRPr="00ED3820" w:rsidRDefault="002E2ADB" w:rsidP="00637D24">
            <w:pPr>
              <w:contextualSpacing/>
              <w:jc w:val="both"/>
              <w:rPr>
                <w:rFonts w:ascii="Arial" w:hAnsi="Arial" w:cs="Arial"/>
                <w:sz w:val="20"/>
                <w:szCs w:val="20"/>
              </w:rPr>
            </w:pPr>
            <w:r w:rsidRPr="00ED3820">
              <w:rPr>
                <w:rFonts w:ascii="Arial" w:hAnsi="Arial" w:cs="Arial"/>
                <w:sz w:val="20"/>
                <w:szCs w:val="20"/>
              </w:rPr>
              <w:t>Prudenciális konszolidációs körbe nem tartozó csoporttagoknak nyújtott hitel (fordított visszavásárlási hitelek kivételével)</w:t>
            </w:r>
          </w:p>
        </w:tc>
        <w:tc>
          <w:tcPr>
            <w:tcW w:w="3686" w:type="dxa"/>
            <w:shd w:val="clear" w:color="auto" w:fill="auto"/>
            <w:tcMar>
              <w:top w:w="85" w:type="dxa"/>
            </w:tcMar>
            <w:vAlign w:val="center"/>
          </w:tcPr>
          <w:p w14:paraId="3FE2A8B2" w14:textId="028273A4" w:rsidR="002E2ADB" w:rsidRPr="00ED3820" w:rsidRDefault="006B36F4" w:rsidP="00637D24">
            <w:pPr>
              <w:pStyle w:val="Default"/>
              <w:jc w:val="both"/>
              <w:rPr>
                <w:rFonts w:ascii="Arial" w:hAnsi="Arial" w:cs="Arial"/>
                <w:sz w:val="20"/>
                <w:szCs w:val="20"/>
              </w:rPr>
            </w:pPr>
            <w:r>
              <w:rPr>
                <w:rFonts w:ascii="Arial" w:hAnsi="Arial" w:cs="Arial"/>
                <w:sz w:val="20"/>
                <w:szCs w:val="20"/>
              </w:rPr>
              <w:t>A</w:t>
            </w:r>
            <w:r w:rsidR="00876DC8" w:rsidRPr="008451E8">
              <w:rPr>
                <w:rFonts w:ascii="Arial" w:hAnsi="Arial" w:cs="Arial"/>
                <w:sz w:val="20"/>
                <w:szCs w:val="20"/>
              </w:rPr>
              <w:t>zok a hitelek és előlegek, amelyek esetében a másik szerződő felek a számviteli csoporton belüli szervezetek, amelyek azonban nem tartoznak a prudenciális konszolidációs körbe. Idetartoznak a leányvállalatok és ugyanazon csoportba tartozó más szervezetek</w:t>
            </w:r>
            <w:r w:rsidR="008040B5">
              <w:rPr>
                <w:rFonts w:ascii="Arial" w:hAnsi="Arial" w:cs="Arial"/>
                <w:sz w:val="20"/>
                <w:szCs w:val="20"/>
              </w:rPr>
              <w:t xml:space="preserve">, </w:t>
            </w:r>
            <w:r w:rsidR="00876DC8" w:rsidRPr="008451E8">
              <w:rPr>
                <w:rFonts w:ascii="Arial" w:hAnsi="Arial" w:cs="Arial"/>
                <w:sz w:val="20"/>
                <w:szCs w:val="20"/>
              </w:rPr>
              <w:t>a társ</w:t>
            </w:r>
            <w:r w:rsidR="008040B5">
              <w:rPr>
                <w:rFonts w:ascii="Arial" w:hAnsi="Arial" w:cs="Arial"/>
                <w:sz w:val="20"/>
                <w:szCs w:val="20"/>
              </w:rPr>
              <w:t xml:space="preserve">ult </w:t>
            </w:r>
            <w:r w:rsidR="00876DC8" w:rsidRPr="008451E8">
              <w:rPr>
                <w:rFonts w:ascii="Arial" w:hAnsi="Arial" w:cs="Arial"/>
                <w:sz w:val="20"/>
                <w:szCs w:val="20"/>
              </w:rPr>
              <w:t>vállal</w:t>
            </w:r>
            <w:r w:rsidR="008040B5">
              <w:rPr>
                <w:rFonts w:ascii="Arial" w:hAnsi="Arial" w:cs="Arial"/>
                <w:sz w:val="20"/>
                <w:szCs w:val="20"/>
              </w:rPr>
              <w:t xml:space="preserve">kozások </w:t>
            </w:r>
            <w:r w:rsidR="00876DC8" w:rsidRPr="008451E8">
              <w:rPr>
                <w:rFonts w:ascii="Arial" w:hAnsi="Arial" w:cs="Arial"/>
                <w:sz w:val="20"/>
                <w:szCs w:val="20"/>
              </w:rPr>
              <w:t>és közös vállalkozások</w:t>
            </w:r>
            <w:r w:rsidR="008511C5">
              <w:rPr>
                <w:rFonts w:ascii="Arial" w:hAnsi="Arial" w:cs="Arial"/>
                <w:sz w:val="20"/>
                <w:szCs w:val="20"/>
              </w:rPr>
              <w:t>,</w:t>
            </w:r>
            <w:r w:rsidR="00876DC8" w:rsidRPr="008451E8">
              <w:rPr>
                <w:rFonts w:ascii="Arial" w:hAnsi="Arial" w:cs="Arial"/>
                <w:sz w:val="20"/>
                <w:szCs w:val="20"/>
              </w:rPr>
              <w:t xml:space="preserve"> a</w:t>
            </w:r>
            <w:r w:rsidR="00D2613E">
              <w:rPr>
                <w:rFonts w:ascii="Arial" w:hAnsi="Arial" w:cs="Arial"/>
                <w:sz w:val="20"/>
                <w:szCs w:val="20"/>
              </w:rPr>
              <w:t>z</w:t>
            </w:r>
            <w:r w:rsidR="002E2ADB" w:rsidRPr="00ED3820">
              <w:rPr>
                <w:rFonts w:ascii="Arial" w:hAnsi="Arial" w:cs="Arial"/>
                <w:sz w:val="20"/>
                <w:szCs w:val="20"/>
              </w:rPr>
              <w:t xml:space="preserve"> </w:t>
            </w:r>
            <w:r w:rsidR="00D2613E">
              <w:rPr>
                <w:rFonts w:ascii="Arial" w:hAnsi="Arial" w:cs="Arial"/>
                <w:sz w:val="20"/>
                <w:szCs w:val="20"/>
              </w:rPr>
              <w:t>(EU) 2021/451</w:t>
            </w:r>
            <w:r w:rsidR="00D2613E" w:rsidRPr="00ED3820">
              <w:rPr>
                <w:rFonts w:ascii="Arial" w:hAnsi="Arial" w:cs="Arial"/>
                <w:sz w:val="20"/>
                <w:szCs w:val="20"/>
              </w:rPr>
              <w:t xml:space="preserve"> </w:t>
            </w:r>
            <w:r w:rsidR="002E2ADB" w:rsidRPr="00ED3820">
              <w:rPr>
                <w:rFonts w:ascii="Arial" w:hAnsi="Arial" w:cs="Arial"/>
                <w:sz w:val="20"/>
                <w:szCs w:val="20"/>
              </w:rPr>
              <w:t>bizottsági végrehajtási rendelet</w:t>
            </w:r>
            <w:r w:rsidR="002E2ADB" w:rsidRPr="00CA25FB">
              <w:rPr>
                <w:rFonts w:ascii="Arial" w:hAnsi="Arial" w:cs="Arial"/>
                <w:sz w:val="20"/>
                <w:szCs w:val="20"/>
              </w:rPr>
              <w:t xml:space="preserve"> V. melléklet 2. rész </w:t>
            </w:r>
            <w:r w:rsidR="002E2ADB" w:rsidRPr="00ED2630">
              <w:rPr>
                <w:rFonts w:ascii="Arial" w:hAnsi="Arial" w:cs="Arial"/>
                <w:sz w:val="20"/>
                <w:szCs w:val="20"/>
              </w:rPr>
              <w:t>289. pont</w:t>
            </w:r>
            <w:r>
              <w:rPr>
                <w:rFonts w:ascii="Arial" w:hAnsi="Arial" w:cs="Arial"/>
                <w:sz w:val="20"/>
                <w:szCs w:val="20"/>
              </w:rPr>
              <w:t>já</w:t>
            </w:r>
            <w:r w:rsidR="00876DC8" w:rsidRPr="00ED2630">
              <w:rPr>
                <w:rFonts w:ascii="Arial" w:hAnsi="Arial" w:cs="Arial"/>
                <w:sz w:val="20"/>
                <w:szCs w:val="20"/>
              </w:rPr>
              <w:t xml:space="preserve">ban meghatározott elv alapján. </w:t>
            </w:r>
            <w:r w:rsidR="00876DC8" w:rsidRPr="008451E8">
              <w:rPr>
                <w:rFonts w:ascii="Arial" w:hAnsi="Arial" w:cs="Arial"/>
                <w:sz w:val="20"/>
                <w:szCs w:val="20"/>
              </w:rPr>
              <w:t xml:space="preserve">Nem </w:t>
            </w:r>
            <w:r w:rsidR="00833C68">
              <w:rPr>
                <w:rFonts w:ascii="Arial" w:hAnsi="Arial" w:cs="Arial"/>
                <w:sz w:val="20"/>
                <w:szCs w:val="20"/>
              </w:rPr>
              <w:t>jelentendők</w:t>
            </w:r>
            <w:r w:rsidR="00A31C30">
              <w:rPr>
                <w:rFonts w:ascii="Arial" w:hAnsi="Arial" w:cs="Arial"/>
                <w:sz w:val="20"/>
                <w:szCs w:val="20"/>
              </w:rPr>
              <w:t xml:space="preserve"> </w:t>
            </w:r>
            <w:r w:rsidR="00876DC8" w:rsidRPr="008451E8">
              <w:rPr>
                <w:rFonts w:ascii="Arial" w:hAnsi="Arial" w:cs="Arial"/>
                <w:sz w:val="20"/>
                <w:szCs w:val="20"/>
              </w:rPr>
              <w:t>a fordított visszavásárlási hitelek.</w:t>
            </w:r>
          </w:p>
        </w:tc>
      </w:tr>
    </w:tbl>
    <w:p w14:paraId="2ECACC1D" w14:textId="77777777" w:rsidR="00FE6B4B" w:rsidRPr="00ED3820" w:rsidRDefault="00FE6B4B" w:rsidP="00FE6B4B">
      <w:pPr>
        <w:rPr>
          <w:rFonts w:ascii="Arial" w:hAnsi="Arial" w:cs="Arial"/>
          <w:sz w:val="20"/>
          <w:szCs w:val="20"/>
        </w:rPr>
      </w:pPr>
    </w:p>
    <w:p w14:paraId="35053559" w14:textId="77777777" w:rsidR="00FE6B4B" w:rsidRPr="00CA25FB" w:rsidRDefault="00FE6B4B" w:rsidP="00FE6B4B">
      <w:pPr>
        <w:rPr>
          <w:rFonts w:ascii="Arial" w:hAnsi="Arial" w:cs="Arial"/>
          <w:b/>
          <w:sz w:val="20"/>
          <w:szCs w:val="20"/>
        </w:rPr>
      </w:pPr>
      <w:r w:rsidRPr="00CA25FB">
        <w:rPr>
          <w:rFonts w:ascii="Arial" w:hAnsi="Arial" w:cs="Arial"/>
          <w:b/>
          <w:sz w:val="20"/>
          <w:szCs w:val="20"/>
        </w:rPr>
        <w:t>A tábla oszlopai</w:t>
      </w:r>
    </w:p>
    <w:p w14:paraId="23DC75BE" w14:textId="77777777" w:rsidR="00FE6B4B" w:rsidRPr="00ED2630" w:rsidRDefault="00FE6B4B" w:rsidP="00FE6B4B">
      <w:pPr>
        <w:rPr>
          <w:rFonts w:ascii="Arial" w:hAnsi="Arial" w:cs="Arial"/>
          <w:b/>
          <w:sz w:val="20"/>
          <w:szCs w:val="20"/>
        </w:rPr>
      </w:pPr>
    </w:p>
    <w:tbl>
      <w:tblPr>
        <w:tblW w:w="9464" w:type="dxa"/>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Look w:val="04A0" w:firstRow="1" w:lastRow="0" w:firstColumn="1" w:lastColumn="0" w:noHBand="0" w:noVBand="1"/>
      </w:tblPr>
      <w:tblGrid>
        <w:gridCol w:w="905"/>
        <w:gridCol w:w="3391"/>
        <w:gridCol w:w="5168"/>
      </w:tblGrid>
      <w:tr w:rsidR="00FE6B4B" w:rsidRPr="00ED3820" w14:paraId="08A8B922" w14:textId="77777777" w:rsidTr="00960BA9">
        <w:tc>
          <w:tcPr>
            <w:tcW w:w="905" w:type="dxa"/>
            <w:shd w:val="clear" w:color="auto" w:fill="auto"/>
            <w:tcMar>
              <w:top w:w="85" w:type="dxa"/>
            </w:tcMar>
            <w:vAlign w:val="center"/>
          </w:tcPr>
          <w:p w14:paraId="5B9DCEC4" w14:textId="77777777" w:rsidR="00FE6B4B" w:rsidRPr="00ED2630" w:rsidRDefault="00FE6B4B" w:rsidP="00D16669">
            <w:pPr>
              <w:contextualSpacing/>
              <w:jc w:val="center"/>
              <w:rPr>
                <w:rFonts w:ascii="Arial" w:hAnsi="Arial" w:cs="Arial"/>
                <w:b/>
                <w:sz w:val="20"/>
                <w:szCs w:val="20"/>
              </w:rPr>
            </w:pPr>
            <w:r w:rsidRPr="00ED2630">
              <w:rPr>
                <w:rFonts w:ascii="Arial" w:hAnsi="Arial" w:cs="Arial"/>
                <w:b/>
                <w:sz w:val="20"/>
                <w:szCs w:val="20"/>
              </w:rPr>
              <w:t>Oszlop</w:t>
            </w:r>
          </w:p>
        </w:tc>
        <w:tc>
          <w:tcPr>
            <w:tcW w:w="3391" w:type="dxa"/>
            <w:shd w:val="clear" w:color="auto" w:fill="auto"/>
            <w:tcMar>
              <w:top w:w="85" w:type="dxa"/>
            </w:tcMar>
            <w:vAlign w:val="center"/>
          </w:tcPr>
          <w:p w14:paraId="50121FC0" w14:textId="77777777" w:rsidR="00FE6B4B" w:rsidRPr="00ED2630" w:rsidRDefault="00FE6B4B" w:rsidP="00D16669">
            <w:pPr>
              <w:contextualSpacing/>
              <w:jc w:val="center"/>
              <w:rPr>
                <w:rFonts w:ascii="Arial" w:hAnsi="Arial" w:cs="Arial"/>
                <w:b/>
                <w:sz w:val="20"/>
                <w:szCs w:val="20"/>
              </w:rPr>
            </w:pPr>
            <w:r w:rsidRPr="00ED2630">
              <w:rPr>
                <w:rFonts w:ascii="Arial" w:hAnsi="Arial" w:cs="Arial"/>
                <w:b/>
                <w:sz w:val="20"/>
                <w:szCs w:val="20"/>
              </w:rPr>
              <w:t>Megnevezés</w:t>
            </w:r>
          </w:p>
        </w:tc>
        <w:tc>
          <w:tcPr>
            <w:tcW w:w="5168" w:type="dxa"/>
            <w:shd w:val="clear" w:color="auto" w:fill="auto"/>
            <w:tcMar>
              <w:top w:w="85" w:type="dxa"/>
            </w:tcMar>
            <w:vAlign w:val="center"/>
          </w:tcPr>
          <w:p w14:paraId="6258EDD4" w14:textId="77777777" w:rsidR="00FE6B4B" w:rsidRPr="00ED2630" w:rsidRDefault="00FE6B4B" w:rsidP="00D16669">
            <w:pPr>
              <w:contextualSpacing/>
              <w:jc w:val="center"/>
              <w:rPr>
                <w:rFonts w:ascii="Arial" w:hAnsi="Arial" w:cs="Arial"/>
                <w:sz w:val="20"/>
                <w:szCs w:val="20"/>
              </w:rPr>
            </w:pPr>
            <w:r w:rsidRPr="00ED2630">
              <w:rPr>
                <w:rFonts w:ascii="Arial" w:hAnsi="Arial" w:cs="Arial"/>
                <w:b/>
                <w:sz w:val="20"/>
                <w:szCs w:val="20"/>
              </w:rPr>
              <w:t>Hivatkozások jogszabályokra és megjegyzések</w:t>
            </w:r>
          </w:p>
        </w:tc>
      </w:tr>
      <w:tr w:rsidR="00FE6B4B" w:rsidRPr="00ED3820" w14:paraId="7599D2D6" w14:textId="77777777" w:rsidTr="00960BA9">
        <w:tc>
          <w:tcPr>
            <w:tcW w:w="905" w:type="dxa"/>
            <w:shd w:val="clear" w:color="auto" w:fill="auto"/>
            <w:tcMar>
              <w:top w:w="85" w:type="dxa"/>
            </w:tcMar>
            <w:vAlign w:val="center"/>
          </w:tcPr>
          <w:p w14:paraId="4BD2FC08" w14:textId="77777777" w:rsidR="00FE6B4B" w:rsidRPr="00ED3820" w:rsidRDefault="00FE6B4B" w:rsidP="00D16669">
            <w:pPr>
              <w:contextualSpacing/>
              <w:rPr>
                <w:rFonts w:ascii="Arial" w:hAnsi="Arial" w:cs="Arial"/>
                <w:sz w:val="20"/>
                <w:szCs w:val="20"/>
              </w:rPr>
            </w:pPr>
            <w:r w:rsidRPr="00ED3820">
              <w:rPr>
                <w:rFonts w:ascii="Arial" w:hAnsi="Arial" w:cs="Arial"/>
                <w:sz w:val="20"/>
                <w:szCs w:val="20"/>
              </w:rPr>
              <w:t>010</w:t>
            </w:r>
          </w:p>
        </w:tc>
        <w:tc>
          <w:tcPr>
            <w:tcW w:w="3391" w:type="dxa"/>
            <w:shd w:val="clear" w:color="auto" w:fill="auto"/>
            <w:tcMar>
              <w:top w:w="85" w:type="dxa"/>
            </w:tcMar>
            <w:vAlign w:val="center"/>
          </w:tcPr>
          <w:p w14:paraId="781B9EF6" w14:textId="77777777" w:rsidR="00FE6B4B" w:rsidRPr="00CA25FB" w:rsidRDefault="00FE6B4B" w:rsidP="00D16669">
            <w:pPr>
              <w:contextualSpacing/>
              <w:rPr>
                <w:rFonts w:ascii="Arial" w:hAnsi="Arial" w:cs="Arial"/>
                <w:sz w:val="20"/>
                <w:szCs w:val="20"/>
              </w:rPr>
            </w:pPr>
            <w:r w:rsidRPr="00CA25FB">
              <w:rPr>
                <w:rFonts w:ascii="Arial" w:hAnsi="Arial" w:cs="Arial"/>
                <w:sz w:val="20"/>
                <w:szCs w:val="20"/>
              </w:rPr>
              <w:t>Aktuális – tény</w:t>
            </w:r>
          </w:p>
        </w:tc>
        <w:tc>
          <w:tcPr>
            <w:tcW w:w="5168" w:type="dxa"/>
            <w:shd w:val="clear" w:color="auto" w:fill="auto"/>
            <w:tcMar>
              <w:top w:w="85" w:type="dxa"/>
            </w:tcMar>
            <w:vAlign w:val="center"/>
          </w:tcPr>
          <w:p w14:paraId="56AE3E53" w14:textId="77777777" w:rsidR="00FE6B4B" w:rsidRPr="00ED2630" w:rsidRDefault="00FE6B4B" w:rsidP="00101B75">
            <w:pPr>
              <w:contextualSpacing/>
              <w:jc w:val="both"/>
              <w:rPr>
                <w:rFonts w:ascii="Arial" w:hAnsi="Arial" w:cs="Arial"/>
                <w:sz w:val="20"/>
                <w:szCs w:val="20"/>
              </w:rPr>
            </w:pPr>
            <w:r w:rsidRPr="00ED2630">
              <w:rPr>
                <w:rFonts w:ascii="Arial" w:hAnsi="Arial" w:cs="Arial"/>
                <w:sz w:val="20"/>
                <w:szCs w:val="20"/>
              </w:rPr>
              <w:t>Ebben az oszlopban az előző év végi tényadatot kell jelenteni.</w:t>
            </w:r>
          </w:p>
        </w:tc>
      </w:tr>
      <w:tr w:rsidR="00FE6B4B" w:rsidRPr="00ED3820" w14:paraId="4D51F999" w14:textId="77777777" w:rsidTr="00960BA9">
        <w:tc>
          <w:tcPr>
            <w:tcW w:w="905" w:type="dxa"/>
            <w:shd w:val="clear" w:color="auto" w:fill="auto"/>
            <w:tcMar>
              <w:top w:w="85" w:type="dxa"/>
            </w:tcMar>
            <w:vAlign w:val="center"/>
          </w:tcPr>
          <w:p w14:paraId="293A5008" w14:textId="017D2D6E" w:rsidR="00FE6B4B" w:rsidRPr="00CA25FB" w:rsidRDefault="00FE6B4B" w:rsidP="00D16669">
            <w:pPr>
              <w:contextualSpacing/>
              <w:rPr>
                <w:rFonts w:ascii="Arial" w:hAnsi="Arial" w:cs="Arial"/>
                <w:sz w:val="20"/>
                <w:szCs w:val="20"/>
              </w:rPr>
            </w:pPr>
            <w:r w:rsidRPr="00ED3820">
              <w:rPr>
                <w:rFonts w:ascii="Arial" w:hAnsi="Arial" w:cs="Arial"/>
                <w:sz w:val="20"/>
                <w:szCs w:val="20"/>
              </w:rPr>
              <w:t>0</w:t>
            </w:r>
            <w:r w:rsidR="008040B5">
              <w:rPr>
                <w:rFonts w:ascii="Arial" w:hAnsi="Arial" w:cs="Arial"/>
                <w:sz w:val="20"/>
                <w:szCs w:val="20"/>
              </w:rPr>
              <w:t>3</w:t>
            </w:r>
            <w:r w:rsidRPr="00ED3820">
              <w:rPr>
                <w:rFonts w:ascii="Arial" w:hAnsi="Arial" w:cs="Arial"/>
                <w:sz w:val="20"/>
                <w:szCs w:val="20"/>
              </w:rPr>
              <w:t>0 -050</w:t>
            </w:r>
          </w:p>
        </w:tc>
        <w:tc>
          <w:tcPr>
            <w:tcW w:w="3391" w:type="dxa"/>
            <w:shd w:val="clear" w:color="auto" w:fill="auto"/>
            <w:tcMar>
              <w:top w:w="85" w:type="dxa"/>
            </w:tcMar>
            <w:vAlign w:val="center"/>
          </w:tcPr>
          <w:p w14:paraId="3D1D1926" w14:textId="572D28D1" w:rsidR="00FE6B4B" w:rsidRPr="00ED2630" w:rsidRDefault="00FE6B4B" w:rsidP="00D16669">
            <w:pPr>
              <w:contextualSpacing/>
              <w:rPr>
                <w:rFonts w:ascii="Arial" w:hAnsi="Arial" w:cs="Arial"/>
                <w:sz w:val="20"/>
                <w:szCs w:val="20"/>
              </w:rPr>
            </w:pPr>
            <w:r w:rsidRPr="00CA25FB">
              <w:rPr>
                <w:rFonts w:ascii="Arial" w:hAnsi="Arial" w:cs="Arial"/>
                <w:sz w:val="20"/>
                <w:szCs w:val="20"/>
              </w:rPr>
              <w:t xml:space="preserve">1 év – terv, 2 év – terv, 3 év </w:t>
            </w:r>
            <w:r w:rsidR="007C0883" w:rsidRPr="00CA25FB">
              <w:rPr>
                <w:rFonts w:ascii="Arial" w:hAnsi="Arial" w:cs="Arial"/>
                <w:sz w:val="20"/>
                <w:szCs w:val="20"/>
              </w:rPr>
              <w:t>–</w:t>
            </w:r>
            <w:r w:rsidRPr="00CA25FB">
              <w:rPr>
                <w:rFonts w:ascii="Arial" w:hAnsi="Arial" w:cs="Arial"/>
                <w:sz w:val="20"/>
                <w:szCs w:val="20"/>
              </w:rPr>
              <w:t xml:space="preserve"> terv</w:t>
            </w:r>
          </w:p>
        </w:tc>
        <w:tc>
          <w:tcPr>
            <w:tcW w:w="5168" w:type="dxa"/>
            <w:shd w:val="clear" w:color="auto" w:fill="auto"/>
            <w:tcMar>
              <w:top w:w="85" w:type="dxa"/>
            </w:tcMar>
            <w:vAlign w:val="center"/>
          </w:tcPr>
          <w:p w14:paraId="205AA345" w14:textId="7C664CBA" w:rsidR="00FE6B4B" w:rsidRPr="00ED3820" w:rsidRDefault="00663E90" w:rsidP="00D16669">
            <w:pPr>
              <w:jc w:val="both"/>
              <w:rPr>
                <w:rFonts w:ascii="Arial" w:hAnsi="Arial" w:cs="Arial"/>
                <w:sz w:val="20"/>
                <w:szCs w:val="20"/>
              </w:rPr>
            </w:pPr>
            <w:r w:rsidRPr="00ED2630">
              <w:rPr>
                <w:rFonts w:ascii="Arial" w:hAnsi="Arial" w:cs="Arial"/>
                <w:sz w:val="20"/>
                <w:szCs w:val="20"/>
              </w:rPr>
              <w:t xml:space="preserve">Ezekben az oszlopokban a tényadatot követő </w:t>
            </w:r>
            <w:r w:rsidRPr="00ED3820">
              <w:rPr>
                <w:rFonts w:ascii="Arial" w:hAnsi="Arial" w:cs="Arial"/>
                <w:sz w:val="20"/>
                <w:szCs w:val="20"/>
              </w:rPr>
              <w:t>1., 2. és 3. évre vonatkozó terv</w:t>
            </w:r>
            <w:r w:rsidR="007F228C">
              <w:rPr>
                <w:rFonts w:ascii="Arial" w:hAnsi="Arial" w:cs="Arial"/>
                <w:sz w:val="20"/>
                <w:szCs w:val="20"/>
              </w:rPr>
              <w:t xml:space="preserve"> </w:t>
            </w:r>
            <w:r w:rsidRPr="00ED3820">
              <w:rPr>
                <w:rFonts w:ascii="Arial" w:hAnsi="Arial" w:cs="Arial"/>
                <w:sz w:val="20"/>
                <w:szCs w:val="20"/>
              </w:rPr>
              <w:t xml:space="preserve">adatokat kell jelenteni. </w:t>
            </w:r>
          </w:p>
          <w:p w14:paraId="50364716" w14:textId="77777777" w:rsidR="00FE6B4B" w:rsidRPr="00ED3820" w:rsidRDefault="00FE6B4B" w:rsidP="00D16669">
            <w:pPr>
              <w:contextualSpacing/>
              <w:jc w:val="both"/>
              <w:rPr>
                <w:rFonts w:ascii="Arial" w:hAnsi="Arial" w:cs="Arial"/>
                <w:sz w:val="20"/>
                <w:szCs w:val="20"/>
              </w:rPr>
            </w:pPr>
            <w:r w:rsidRPr="00ED3820">
              <w:rPr>
                <w:rFonts w:ascii="Arial" w:hAnsi="Arial" w:cs="Arial"/>
                <w:sz w:val="20"/>
                <w:szCs w:val="20"/>
              </w:rPr>
              <w:t>Ezeket az oszlopokat a hitelintézetnek a normál makrogazdasági helyzet és normál üzletmenet feltételezése mellett tett előrejelzések szerint kell kitöltenie. Az MNB nem ad meg makrogazdasági szcenáriót, a hitelintézetnek a saját becslései közül a legvalószínűbbet kell alkalmaznia.</w:t>
            </w:r>
          </w:p>
        </w:tc>
      </w:tr>
    </w:tbl>
    <w:p w14:paraId="5CE13DEB" w14:textId="77777777" w:rsidR="00FE6B4B" w:rsidRDefault="00FE6B4B" w:rsidP="00FE6B4B">
      <w:pPr>
        <w:rPr>
          <w:rFonts w:ascii="Arial" w:hAnsi="Arial" w:cs="Arial"/>
          <w:sz w:val="20"/>
          <w:szCs w:val="20"/>
        </w:rPr>
      </w:pPr>
    </w:p>
    <w:p w14:paraId="48114A52" w14:textId="77777777" w:rsidR="00FE6B4B" w:rsidRPr="001B098C" w:rsidRDefault="00FE6B4B" w:rsidP="00FE6B4B">
      <w:pPr>
        <w:rPr>
          <w:rFonts w:ascii="Arial" w:hAnsi="Arial" w:cs="Arial"/>
          <w:sz w:val="20"/>
          <w:szCs w:val="20"/>
        </w:rPr>
      </w:pPr>
    </w:p>
    <w:p w14:paraId="5A5CFF7C" w14:textId="77777777" w:rsidR="00FE6B4B" w:rsidRDefault="0062780E" w:rsidP="00FE6B4B">
      <w:pPr>
        <w:rPr>
          <w:rFonts w:ascii="Arial" w:hAnsi="Arial" w:cs="Arial"/>
          <w:b/>
          <w:sz w:val="20"/>
          <w:szCs w:val="20"/>
        </w:rPr>
      </w:pPr>
      <w:r>
        <w:rPr>
          <w:rFonts w:ascii="Arial" w:hAnsi="Arial" w:cs="Arial"/>
          <w:b/>
          <w:sz w:val="20"/>
          <w:szCs w:val="20"/>
        </w:rPr>
        <w:t xml:space="preserve">2. </w:t>
      </w:r>
      <w:r w:rsidR="00FE6B4B">
        <w:rPr>
          <w:rFonts w:ascii="Arial" w:hAnsi="Arial" w:cs="Arial"/>
          <w:b/>
          <w:sz w:val="20"/>
          <w:szCs w:val="20"/>
        </w:rPr>
        <w:t>P</w:t>
      </w:r>
      <w:r w:rsidR="00857983">
        <w:rPr>
          <w:rFonts w:ascii="Arial" w:hAnsi="Arial" w:cs="Arial"/>
          <w:b/>
          <w:sz w:val="20"/>
          <w:szCs w:val="20"/>
        </w:rPr>
        <w:t>_</w:t>
      </w:r>
      <w:r w:rsidR="00FE6B4B" w:rsidRPr="001B098C">
        <w:rPr>
          <w:rFonts w:ascii="Arial" w:hAnsi="Arial" w:cs="Arial"/>
          <w:b/>
          <w:sz w:val="20"/>
          <w:szCs w:val="20"/>
        </w:rPr>
        <w:t xml:space="preserve">01.02 </w:t>
      </w:r>
      <w:r w:rsidR="00FE6B4B">
        <w:rPr>
          <w:rFonts w:ascii="Arial" w:hAnsi="Arial" w:cs="Arial"/>
          <w:b/>
          <w:sz w:val="20"/>
          <w:szCs w:val="20"/>
        </w:rPr>
        <w:t xml:space="preserve">Finanszírozási terv </w:t>
      </w:r>
      <w:r w:rsidR="008E3A5A">
        <w:rPr>
          <w:rFonts w:ascii="Arial" w:hAnsi="Arial" w:cs="Arial"/>
          <w:b/>
          <w:caps/>
          <w:sz w:val="20"/>
          <w:szCs w:val="20"/>
          <w:lang w:val="en-US" w:eastAsia="en-GB"/>
        </w:rPr>
        <w:t>–</w:t>
      </w:r>
      <w:r w:rsidR="00FE6B4B">
        <w:rPr>
          <w:rFonts w:ascii="Arial" w:hAnsi="Arial" w:cs="Arial"/>
          <w:b/>
          <w:sz w:val="20"/>
          <w:szCs w:val="20"/>
        </w:rPr>
        <w:t xml:space="preserve"> </w:t>
      </w:r>
      <w:r w:rsidR="00FE6B4B" w:rsidRPr="001B098C">
        <w:rPr>
          <w:rFonts w:ascii="Arial" w:hAnsi="Arial" w:cs="Arial"/>
          <w:b/>
          <w:sz w:val="20"/>
          <w:szCs w:val="20"/>
        </w:rPr>
        <w:t>Források</w:t>
      </w:r>
    </w:p>
    <w:p w14:paraId="3CC20DC4" w14:textId="77777777" w:rsidR="00FE6B4B" w:rsidRDefault="00FE6B4B" w:rsidP="00FE6B4B">
      <w:pPr>
        <w:rPr>
          <w:rFonts w:ascii="Arial" w:hAnsi="Arial" w:cs="Arial"/>
          <w:b/>
          <w:sz w:val="20"/>
          <w:szCs w:val="20"/>
        </w:rPr>
      </w:pPr>
    </w:p>
    <w:p w14:paraId="7B96EA3F" w14:textId="77777777" w:rsidR="00FE6B4B" w:rsidRDefault="00FE6B4B" w:rsidP="00FE6B4B">
      <w:pPr>
        <w:rPr>
          <w:rFonts w:ascii="Arial" w:hAnsi="Arial" w:cs="Arial"/>
          <w:b/>
          <w:sz w:val="20"/>
          <w:szCs w:val="20"/>
        </w:rPr>
      </w:pPr>
      <w:r>
        <w:rPr>
          <w:rFonts w:ascii="Arial" w:hAnsi="Arial" w:cs="Arial"/>
          <w:b/>
          <w:sz w:val="20"/>
          <w:szCs w:val="20"/>
        </w:rPr>
        <w:t>A tábla sorai</w:t>
      </w:r>
    </w:p>
    <w:p w14:paraId="67A56F1E" w14:textId="77777777" w:rsidR="00FE6B4B" w:rsidRPr="001B098C" w:rsidRDefault="00FE6B4B" w:rsidP="00FE6B4B">
      <w:pPr>
        <w:rPr>
          <w:rFonts w:ascii="Arial" w:hAnsi="Arial" w:cs="Arial"/>
          <w:b/>
          <w:sz w:val="20"/>
          <w:szCs w:val="20"/>
        </w:rPr>
      </w:pPr>
    </w:p>
    <w:tbl>
      <w:tblPr>
        <w:tblW w:w="9464" w:type="dxa"/>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Layout w:type="fixed"/>
        <w:tblLook w:val="04A0" w:firstRow="1" w:lastRow="0" w:firstColumn="1" w:lastColumn="0" w:noHBand="0" w:noVBand="1"/>
      </w:tblPr>
      <w:tblGrid>
        <w:gridCol w:w="959"/>
        <w:gridCol w:w="1276"/>
        <w:gridCol w:w="3147"/>
        <w:gridCol w:w="4082"/>
      </w:tblGrid>
      <w:tr w:rsidR="00FE6B4B" w:rsidRPr="00191B6F" w14:paraId="72C439FE" w14:textId="77777777" w:rsidTr="00D23413">
        <w:tc>
          <w:tcPr>
            <w:tcW w:w="959" w:type="dxa"/>
            <w:shd w:val="clear" w:color="auto" w:fill="auto"/>
            <w:vAlign w:val="center"/>
          </w:tcPr>
          <w:p w14:paraId="50A4B208" w14:textId="77777777" w:rsidR="00FE6B4B" w:rsidRPr="0091468E" w:rsidRDefault="00FE6B4B" w:rsidP="00D16669">
            <w:pPr>
              <w:contextualSpacing/>
              <w:jc w:val="center"/>
              <w:rPr>
                <w:rFonts w:ascii="Arial" w:hAnsi="Arial" w:cs="Arial"/>
                <w:b/>
                <w:sz w:val="20"/>
                <w:szCs w:val="20"/>
              </w:rPr>
            </w:pPr>
            <w:r w:rsidRPr="0091468E">
              <w:rPr>
                <w:rFonts w:ascii="Arial" w:hAnsi="Arial" w:cs="Arial"/>
                <w:b/>
                <w:sz w:val="20"/>
                <w:szCs w:val="20"/>
              </w:rPr>
              <w:t>Sorkód</w:t>
            </w:r>
          </w:p>
        </w:tc>
        <w:tc>
          <w:tcPr>
            <w:tcW w:w="1276" w:type="dxa"/>
            <w:vAlign w:val="center"/>
          </w:tcPr>
          <w:p w14:paraId="594EB878" w14:textId="77777777" w:rsidR="00FE6B4B" w:rsidRPr="0091468E" w:rsidRDefault="00FE6B4B" w:rsidP="00D16669">
            <w:pPr>
              <w:contextualSpacing/>
              <w:jc w:val="center"/>
              <w:rPr>
                <w:rFonts w:ascii="Arial" w:hAnsi="Arial" w:cs="Arial"/>
                <w:b/>
                <w:sz w:val="20"/>
                <w:szCs w:val="20"/>
              </w:rPr>
            </w:pPr>
            <w:r>
              <w:rPr>
                <w:rFonts w:ascii="Arial" w:hAnsi="Arial" w:cs="Arial"/>
                <w:b/>
                <w:sz w:val="20"/>
                <w:szCs w:val="20"/>
              </w:rPr>
              <w:t>Hierarchia</w:t>
            </w:r>
          </w:p>
        </w:tc>
        <w:tc>
          <w:tcPr>
            <w:tcW w:w="3147" w:type="dxa"/>
            <w:shd w:val="clear" w:color="auto" w:fill="auto"/>
            <w:vAlign w:val="center"/>
          </w:tcPr>
          <w:p w14:paraId="3C07AC16" w14:textId="77777777" w:rsidR="00FE6B4B" w:rsidRPr="0091468E" w:rsidRDefault="00FE6B4B" w:rsidP="00D16669">
            <w:pPr>
              <w:contextualSpacing/>
              <w:jc w:val="center"/>
              <w:rPr>
                <w:rFonts w:ascii="Arial" w:hAnsi="Arial" w:cs="Arial"/>
                <w:b/>
                <w:sz w:val="20"/>
                <w:szCs w:val="20"/>
              </w:rPr>
            </w:pPr>
            <w:r w:rsidRPr="0091468E">
              <w:rPr>
                <w:rFonts w:ascii="Arial" w:hAnsi="Arial" w:cs="Arial"/>
                <w:b/>
                <w:sz w:val="20"/>
                <w:szCs w:val="20"/>
              </w:rPr>
              <w:t>Megnevezés</w:t>
            </w:r>
          </w:p>
        </w:tc>
        <w:tc>
          <w:tcPr>
            <w:tcW w:w="4082" w:type="dxa"/>
            <w:shd w:val="clear" w:color="auto" w:fill="auto"/>
            <w:vAlign w:val="center"/>
          </w:tcPr>
          <w:p w14:paraId="0D618F54" w14:textId="77777777" w:rsidR="00FE6B4B" w:rsidRPr="0091468E" w:rsidRDefault="00FE6B4B" w:rsidP="00D16669">
            <w:pPr>
              <w:contextualSpacing/>
              <w:jc w:val="center"/>
              <w:rPr>
                <w:rFonts w:ascii="Arial" w:hAnsi="Arial" w:cs="Arial"/>
                <w:b/>
                <w:sz w:val="20"/>
                <w:szCs w:val="20"/>
              </w:rPr>
            </w:pPr>
            <w:r w:rsidRPr="00191B6F">
              <w:rPr>
                <w:rFonts w:ascii="Arial" w:hAnsi="Arial" w:cs="Arial"/>
                <w:b/>
                <w:sz w:val="20"/>
                <w:szCs w:val="20"/>
              </w:rPr>
              <w:t>Hivatkozások jogszabályokra és megjegyzések</w:t>
            </w:r>
          </w:p>
        </w:tc>
      </w:tr>
      <w:tr w:rsidR="00FE6B4B" w:rsidRPr="00191B6F" w14:paraId="515B8A31" w14:textId="77777777" w:rsidTr="00637D24">
        <w:trPr>
          <w:trHeight w:val="987"/>
        </w:trPr>
        <w:tc>
          <w:tcPr>
            <w:tcW w:w="959" w:type="dxa"/>
            <w:shd w:val="clear" w:color="auto" w:fill="auto"/>
            <w:tcMar>
              <w:top w:w="85" w:type="dxa"/>
            </w:tcMar>
            <w:vAlign w:val="center"/>
          </w:tcPr>
          <w:p w14:paraId="6CF1B31E"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010</w:t>
            </w:r>
          </w:p>
        </w:tc>
        <w:tc>
          <w:tcPr>
            <w:tcW w:w="1276" w:type="dxa"/>
            <w:vAlign w:val="center"/>
          </w:tcPr>
          <w:p w14:paraId="0F716AD5" w14:textId="77777777" w:rsidR="00FE6B4B" w:rsidRPr="00191B6F" w:rsidRDefault="00FE6B4B" w:rsidP="00D16669">
            <w:pPr>
              <w:contextualSpacing/>
              <w:rPr>
                <w:rFonts w:ascii="Arial" w:hAnsi="Arial" w:cs="Arial"/>
                <w:sz w:val="20"/>
                <w:szCs w:val="20"/>
              </w:rPr>
            </w:pPr>
            <w:r w:rsidRPr="00222297">
              <w:rPr>
                <w:rFonts w:ascii="Arial" w:hAnsi="Arial" w:cs="Arial"/>
                <w:sz w:val="20"/>
                <w:szCs w:val="20"/>
              </w:rPr>
              <w:t>1.1.</w:t>
            </w:r>
          </w:p>
        </w:tc>
        <w:tc>
          <w:tcPr>
            <w:tcW w:w="3147" w:type="dxa"/>
            <w:shd w:val="clear" w:color="auto" w:fill="auto"/>
            <w:tcMar>
              <w:top w:w="85" w:type="dxa"/>
            </w:tcMar>
            <w:vAlign w:val="center"/>
          </w:tcPr>
          <w:p w14:paraId="0D1C1445" w14:textId="4B11F388" w:rsidR="00FE6B4B" w:rsidRPr="00191B6F" w:rsidRDefault="00FE6B4B" w:rsidP="00637D24">
            <w:pPr>
              <w:contextualSpacing/>
              <w:jc w:val="both"/>
              <w:rPr>
                <w:rFonts w:ascii="Arial" w:hAnsi="Arial" w:cs="Arial"/>
                <w:sz w:val="20"/>
                <w:szCs w:val="20"/>
              </w:rPr>
            </w:pPr>
            <w:r w:rsidRPr="00191B6F">
              <w:rPr>
                <w:rFonts w:ascii="Arial" w:hAnsi="Arial" w:cs="Arial"/>
                <w:sz w:val="20"/>
                <w:szCs w:val="20"/>
              </w:rPr>
              <w:t xml:space="preserve">Visszavásárlási </w:t>
            </w:r>
            <w:r w:rsidR="00ED3820">
              <w:rPr>
                <w:rFonts w:ascii="Arial" w:hAnsi="Arial" w:cs="Arial"/>
                <w:sz w:val="20"/>
                <w:szCs w:val="20"/>
              </w:rPr>
              <w:t>megállapodások</w:t>
            </w:r>
          </w:p>
        </w:tc>
        <w:tc>
          <w:tcPr>
            <w:tcW w:w="4082" w:type="dxa"/>
            <w:shd w:val="clear" w:color="auto" w:fill="auto"/>
            <w:tcMar>
              <w:top w:w="85" w:type="dxa"/>
            </w:tcMar>
            <w:vAlign w:val="center"/>
          </w:tcPr>
          <w:p w14:paraId="094258F6" w14:textId="37DE165E" w:rsidR="00FE6B4B" w:rsidRPr="00191B6F" w:rsidRDefault="00D2613E" w:rsidP="00637D24">
            <w:pPr>
              <w:contextualSpacing/>
              <w:jc w:val="both"/>
              <w:rPr>
                <w:rFonts w:ascii="Arial" w:hAnsi="Arial" w:cs="Arial"/>
                <w:sz w:val="20"/>
                <w:szCs w:val="20"/>
              </w:rPr>
            </w:pPr>
            <w:r>
              <w:rPr>
                <w:rFonts w:ascii="Arial" w:hAnsi="Arial" w:cs="Arial"/>
                <w:sz w:val="20"/>
                <w:szCs w:val="20"/>
              </w:rPr>
              <w:t>(EU) 2021/451</w:t>
            </w:r>
            <w:r w:rsidR="00FE6B4B">
              <w:rPr>
                <w:rFonts w:ascii="Arial" w:hAnsi="Arial" w:cs="Arial"/>
                <w:sz w:val="20"/>
                <w:szCs w:val="20"/>
              </w:rPr>
              <w:t xml:space="preserve"> bizottsági végrehajtási rendelet</w:t>
            </w:r>
            <w:r w:rsidR="00FE6B4B" w:rsidRPr="00191B6F">
              <w:rPr>
                <w:rFonts w:ascii="Arial" w:hAnsi="Arial" w:cs="Arial"/>
                <w:sz w:val="20"/>
                <w:szCs w:val="20"/>
              </w:rPr>
              <w:t xml:space="preserve"> </w:t>
            </w:r>
            <w:r w:rsidR="00ED3820">
              <w:rPr>
                <w:rFonts w:ascii="Arial" w:hAnsi="Arial" w:cs="Arial"/>
                <w:sz w:val="20"/>
                <w:szCs w:val="20"/>
              </w:rPr>
              <w:t>III</w:t>
            </w:r>
            <w:r w:rsidR="00FE6B4B">
              <w:rPr>
                <w:rFonts w:ascii="Arial" w:hAnsi="Arial" w:cs="Arial"/>
                <w:sz w:val="20"/>
                <w:szCs w:val="20"/>
              </w:rPr>
              <w:t>. melléklet</w:t>
            </w:r>
            <w:r w:rsidR="00FE6B4B" w:rsidRPr="00191B6F">
              <w:rPr>
                <w:rFonts w:ascii="Arial" w:hAnsi="Arial" w:cs="Arial"/>
                <w:sz w:val="20"/>
                <w:szCs w:val="20"/>
              </w:rPr>
              <w:t xml:space="preserve"> F</w:t>
            </w:r>
            <w:r w:rsidR="00FE6B4B">
              <w:rPr>
                <w:rFonts w:ascii="Arial" w:hAnsi="Arial" w:cs="Arial"/>
                <w:sz w:val="20"/>
                <w:szCs w:val="20"/>
              </w:rPr>
              <w:t xml:space="preserve"> 08.01 tábla, </w:t>
            </w:r>
            <w:r w:rsidR="00FD042A">
              <w:rPr>
                <w:rFonts w:ascii="Arial" w:hAnsi="Arial" w:cs="Arial"/>
                <w:sz w:val="20"/>
                <w:szCs w:val="20"/>
              </w:rPr>
              <w:t>0</w:t>
            </w:r>
            <w:r w:rsidR="00FE6B4B">
              <w:rPr>
                <w:rFonts w:ascii="Arial" w:hAnsi="Arial" w:cs="Arial"/>
                <w:sz w:val="20"/>
                <w:szCs w:val="20"/>
              </w:rPr>
              <w:t>100.+</w:t>
            </w:r>
            <w:r w:rsidR="00FD042A">
              <w:rPr>
                <w:rFonts w:ascii="Arial" w:hAnsi="Arial" w:cs="Arial"/>
                <w:sz w:val="20"/>
                <w:szCs w:val="20"/>
              </w:rPr>
              <w:t>0</w:t>
            </w:r>
            <w:r w:rsidR="00FE6B4B" w:rsidRPr="00191B6F">
              <w:rPr>
                <w:rFonts w:ascii="Arial" w:hAnsi="Arial" w:cs="Arial"/>
                <w:sz w:val="20"/>
                <w:szCs w:val="20"/>
              </w:rPr>
              <w:t>150</w:t>
            </w:r>
            <w:r w:rsidR="00FE6B4B">
              <w:rPr>
                <w:rFonts w:ascii="Arial" w:hAnsi="Arial" w:cs="Arial"/>
                <w:sz w:val="20"/>
                <w:szCs w:val="20"/>
              </w:rPr>
              <w:t>.+</w:t>
            </w:r>
            <w:r w:rsidR="00FD042A">
              <w:rPr>
                <w:rFonts w:ascii="Arial" w:hAnsi="Arial" w:cs="Arial"/>
                <w:sz w:val="20"/>
                <w:szCs w:val="20"/>
              </w:rPr>
              <w:t>0</w:t>
            </w:r>
            <w:r w:rsidR="00FE6B4B" w:rsidRPr="00191B6F">
              <w:rPr>
                <w:rFonts w:ascii="Arial" w:hAnsi="Arial" w:cs="Arial"/>
                <w:sz w:val="20"/>
                <w:szCs w:val="20"/>
              </w:rPr>
              <w:t>200</w:t>
            </w:r>
            <w:r w:rsidR="00FE6B4B">
              <w:rPr>
                <w:rFonts w:ascii="Arial" w:hAnsi="Arial" w:cs="Arial"/>
                <w:sz w:val="20"/>
                <w:szCs w:val="20"/>
              </w:rPr>
              <w:t>.+</w:t>
            </w:r>
            <w:r w:rsidR="00FD042A">
              <w:rPr>
                <w:rFonts w:ascii="Arial" w:hAnsi="Arial" w:cs="Arial"/>
                <w:sz w:val="20"/>
                <w:szCs w:val="20"/>
              </w:rPr>
              <w:t>0</w:t>
            </w:r>
            <w:r w:rsidR="00FE6B4B" w:rsidRPr="00191B6F">
              <w:rPr>
                <w:rFonts w:ascii="Arial" w:hAnsi="Arial" w:cs="Arial"/>
                <w:sz w:val="20"/>
                <w:szCs w:val="20"/>
              </w:rPr>
              <w:t>250</w:t>
            </w:r>
            <w:r w:rsidR="00FE6B4B">
              <w:rPr>
                <w:rFonts w:ascii="Arial" w:hAnsi="Arial" w:cs="Arial"/>
                <w:sz w:val="20"/>
                <w:szCs w:val="20"/>
              </w:rPr>
              <w:t>.+</w:t>
            </w:r>
            <w:r w:rsidR="002115D0">
              <w:rPr>
                <w:rFonts w:ascii="Arial" w:hAnsi="Arial" w:cs="Arial"/>
                <w:sz w:val="20"/>
                <w:szCs w:val="20"/>
              </w:rPr>
              <w:t>0</w:t>
            </w:r>
            <w:r w:rsidR="00FE6B4B" w:rsidRPr="00191B6F">
              <w:rPr>
                <w:rFonts w:ascii="Arial" w:hAnsi="Arial" w:cs="Arial"/>
                <w:sz w:val="20"/>
                <w:szCs w:val="20"/>
              </w:rPr>
              <w:t>300</w:t>
            </w:r>
            <w:r w:rsidR="00FE6B4B">
              <w:rPr>
                <w:rFonts w:ascii="Arial" w:hAnsi="Arial" w:cs="Arial"/>
                <w:sz w:val="20"/>
                <w:szCs w:val="20"/>
              </w:rPr>
              <w:t>.</w:t>
            </w:r>
            <w:r w:rsidR="00FE6B4B" w:rsidRPr="00191B6F">
              <w:rPr>
                <w:rFonts w:ascii="Arial" w:hAnsi="Arial" w:cs="Arial"/>
                <w:sz w:val="20"/>
                <w:szCs w:val="20"/>
              </w:rPr>
              <w:t>+</w:t>
            </w:r>
            <w:r w:rsidR="00FD042A">
              <w:rPr>
                <w:rFonts w:ascii="Arial" w:hAnsi="Arial" w:cs="Arial"/>
                <w:sz w:val="20"/>
                <w:szCs w:val="20"/>
              </w:rPr>
              <w:t>0</w:t>
            </w:r>
            <w:r w:rsidR="00FE6B4B" w:rsidRPr="00191B6F">
              <w:rPr>
                <w:rFonts w:ascii="Arial" w:hAnsi="Arial" w:cs="Arial"/>
                <w:sz w:val="20"/>
                <w:szCs w:val="20"/>
              </w:rPr>
              <w:t>350</w:t>
            </w:r>
            <w:r w:rsidR="00FE6B4B">
              <w:rPr>
                <w:rFonts w:ascii="Arial" w:hAnsi="Arial" w:cs="Arial"/>
                <w:sz w:val="20"/>
                <w:szCs w:val="20"/>
              </w:rPr>
              <w:t>.</w:t>
            </w:r>
            <w:r w:rsidR="00FE6B4B" w:rsidRPr="00191B6F">
              <w:rPr>
                <w:rFonts w:ascii="Arial" w:hAnsi="Arial" w:cs="Arial"/>
                <w:sz w:val="20"/>
                <w:szCs w:val="20"/>
              </w:rPr>
              <w:t xml:space="preserve"> sor, </w:t>
            </w:r>
            <w:r w:rsidR="00FD042A">
              <w:rPr>
                <w:rFonts w:ascii="Arial" w:hAnsi="Arial" w:cs="Arial"/>
                <w:sz w:val="20"/>
                <w:szCs w:val="20"/>
              </w:rPr>
              <w:t>0</w:t>
            </w:r>
            <w:r w:rsidR="00FE6B4B" w:rsidRPr="00191B6F">
              <w:rPr>
                <w:rFonts w:ascii="Arial" w:hAnsi="Arial" w:cs="Arial"/>
                <w:sz w:val="20"/>
                <w:szCs w:val="20"/>
              </w:rPr>
              <w:t>010</w:t>
            </w:r>
            <w:r w:rsidR="00FE6B4B">
              <w:rPr>
                <w:rFonts w:ascii="Arial" w:hAnsi="Arial" w:cs="Arial"/>
                <w:sz w:val="20"/>
                <w:szCs w:val="20"/>
              </w:rPr>
              <w:t>.+</w:t>
            </w:r>
            <w:r w:rsidR="00FD042A">
              <w:rPr>
                <w:rFonts w:ascii="Arial" w:hAnsi="Arial" w:cs="Arial"/>
                <w:sz w:val="20"/>
                <w:szCs w:val="20"/>
              </w:rPr>
              <w:t>0</w:t>
            </w:r>
            <w:r w:rsidR="00FE6B4B" w:rsidRPr="00191B6F">
              <w:rPr>
                <w:rFonts w:ascii="Arial" w:hAnsi="Arial" w:cs="Arial"/>
                <w:sz w:val="20"/>
                <w:szCs w:val="20"/>
              </w:rPr>
              <w:t>020</w:t>
            </w:r>
            <w:r w:rsidR="00FE6B4B">
              <w:rPr>
                <w:rFonts w:ascii="Arial" w:hAnsi="Arial" w:cs="Arial"/>
                <w:sz w:val="20"/>
                <w:szCs w:val="20"/>
              </w:rPr>
              <w:t>.</w:t>
            </w:r>
            <w:r w:rsidR="00FE6B4B" w:rsidRPr="00191B6F">
              <w:rPr>
                <w:rFonts w:ascii="Arial" w:hAnsi="Arial" w:cs="Arial"/>
                <w:sz w:val="20"/>
                <w:szCs w:val="20"/>
              </w:rPr>
              <w:t>+</w:t>
            </w:r>
            <w:r w:rsidR="00FD042A">
              <w:rPr>
                <w:rFonts w:ascii="Arial" w:hAnsi="Arial" w:cs="Arial"/>
                <w:sz w:val="20"/>
                <w:szCs w:val="20"/>
              </w:rPr>
              <w:t>0</w:t>
            </w:r>
            <w:r w:rsidR="00FE6B4B" w:rsidRPr="00191B6F">
              <w:rPr>
                <w:rFonts w:ascii="Arial" w:hAnsi="Arial" w:cs="Arial"/>
                <w:sz w:val="20"/>
                <w:szCs w:val="20"/>
              </w:rPr>
              <w:t>030</w:t>
            </w:r>
            <w:r w:rsidR="00FE6B4B">
              <w:rPr>
                <w:rFonts w:ascii="Arial" w:hAnsi="Arial" w:cs="Arial"/>
                <w:sz w:val="20"/>
                <w:szCs w:val="20"/>
              </w:rPr>
              <w:t>.</w:t>
            </w:r>
            <w:r w:rsidR="00FE6B4B" w:rsidRPr="00191B6F">
              <w:rPr>
                <w:rFonts w:ascii="Arial" w:hAnsi="Arial" w:cs="Arial"/>
                <w:sz w:val="20"/>
                <w:szCs w:val="20"/>
              </w:rPr>
              <w:t xml:space="preserve"> oszlop</w:t>
            </w:r>
          </w:p>
        </w:tc>
      </w:tr>
      <w:tr w:rsidR="00FE6B4B" w:rsidRPr="00191B6F" w14:paraId="5998F94A" w14:textId="77777777" w:rsidTr="00D23413">
        <w:tc>
          <w:tcPr>
            <w:tcW w:w="959" w:type="dxa"/>
            <w:shd w:val="clear" w:color="auto" w:fill="auto"/>
            <w:tcMar>
              <w:top w:w="85" w:type="dxa"/>
            </w:tcMar>
            <w:vAlign w:val="center"/>
          </w:tcPr>
          <w:p w14:paraId="3FD155D0"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020</w:t>
            </w:r>
          </w:p>
        </w:tc>
        <w:tc>
          <w:tcPr>
            <w:tcW w:w="1276" w:type="dxa"/>
            <w:vAlign w:val="center"/>
          </w:tcPr>
          <w:p w14:paraId="5CD5E880" w14:textId="77777777" w:rsidR="00FE6B4B" w:rsidRPr="00191B6F" w:rsidRDefault="00FE6B4B" w:rsidP="00D16669">
            <w:pPr>
              <w:contextualSpacing/>
              <w:rPr>
                <w:rFonts w:ascii="Arial" w:hAnsi="Arial" w:cs="Arial"/>
                <w:sz w:val="20"/>
                <w:szCs w:val="20"/>
              </w:rPr>
            </w:pPr>
            <w:r>
              <w:rPr>
                <w:rFonts w:ascii="Arial" w:hAnsi="Arial" w:cs="Arial"/>
                <w:sz w:val="20"/>
                <w:szCs w:val="20"/>
              </w:rPr>
              <w:t>1.2</w:t>
            </w:r>
            <w:r w:rsidRPr="00222297">
              <w:rPr>
                <w:rFonts w:ascii="Arial" w:hAnsi="Arial" w:cs="Arial"/>
                <w:sz w:val="20"/>
                <w:szCs w:val="20"/>
              </w:rPr>
              <w:t>.</w:t>
            </w:r>
          </w:p>
        </w:tc>
        <w:tc>
          <w:tcPr>
            <w:tcW w:w="3147" w:type="dxa"/>
            <w:shd w:val="clear" w:color="auto" w:fill="auto"/>
            <w:tcMar>
              <w:top w:w="85" w:type="dxa"/>
            </w:tcMar>
            <w:vAlign w:val="center"/>
          </w:tcPr>
          <w:p w14:paraId="15454B79" w14:textId="4EFC2EA1" w:rsidR="00FE6B4B" w:rsidRPr="00191B6F" w:rsidRDefault="00ED3820" w:rsidP="00637D24">
            <w:pPr>
              <w:contextualSpacing/>
              <w:jc w:val="both"/>
              <w:rPr>
                <w:rFonts w:ascii="Arial" w:hAnsi="Arial" w:cs="Arial"/>
                <w:sz w:val="20"/>
                <w:szCs w:val="20"/>
              </w:rPr>
            </w:pPr>
            <w:r>
              <w:rPr>
                <w:rFonts w:ascii="Arial" w:hAnsi="Arial" w:cs="Arial"/>
                <w:sz w:val="20"/>
                <w:szCs w:val="20"/>
              </w:rPr>
              <w:t>H</w:t>
            </w:r>
            <w:r w:rsidR="00FE6B4B" w:rsidRPr="00191B6F">
              <w:rPr>
                <w:rFonts w:ascii="Arial" w:hAnsi="Arial" w:cs="Arial"/>
                <w:sz w:val="20"/>
                <w:szCs w:val="20"/>
              </w:rPr>
              <w:t>áztartásoktól</w:t>
            </w:r>
            <w:r>
              <w:rPr>
                <w:rFonts w:ascii="Arial" w:hAnsi="Arial" w:cs="Arial"/>
                <w:sz w:val="20"/>
                <w:szCs w:val="20"/>
              </w:rPr>
              <w:t xml:space="preserve"> kapott betétek </w:t>
            </w:r>
          </w:p>
        </w:tc>
        <w:tc>
          <w:tcPr>
            <w:tcW w:w="4082" w:type="dxa"/>
            <w:shd w:val="clear" w:color="auto" w:fill="auto"/>
            <w:tcMar>
              <w:top w:w="85" w:type="dxa"/>
            </w:tcMar>
            <w:vAlign w:val="center"/>
          </w:tcPr>
          <w:p w14:paraId="1E6D13B0" w14:textId="31A56DFD" w:rsidR="00FE6B4B" w:rsidRPr="00191B6F" w:rsidRDefault="00D2613E" w:rsidP="00637D24">
            <w:pPr>
              <w:contextualSpacing/>
              <w:jc w:val="both"/>
              <w:rPr>
                <w:rFonts w:ascii="Arial" w:hAnsi="Arial" w:cs="Arial"/>
                <w:sz w:val="20"/>
                <w:szCs w:val="20"/>
              </w:rPr>
            </w:pPr>
            <w:r>
              <w:rPr>
                <w:rFonts w:ascii="Arial" w:hAnsi="Arial" w:cs="Arial"/>
                <w:sz w:val="20"/>
                <w:szCs w:val="20"/>
              </w:rPr>
              <w:t>(EU) 2021/451</w:t>
            </w:r>
            <w:r w:rsidR="00FE6B4B">
              <w:rPr>
                <w:rFonts w:ascii="Arial" w:hAnsi="Arial" w:cs="Arial"/>
                <w:sz w:val="20"/>
                <w:szCs w:val="20"/>
              </w:rPr>
              <w:t xml:space="preserve"> bizottsági végrehajtási rendelet</w:t>
            </w:r>
            <w:r w:rsidR="00FE6B4B" w:rsidRPr="00191B6F">
              <w:rPr>
                <w:rFonts w:ascii="Arial" w:hAnsi="Arial" w:cs="Arial"/>
                <w:sz w:val="20"/>
                <w:szCs w:val="20"/>
              </w:rPr>
              <w:t xml:space="preserve"> </w:t>
            </w:r>
            <w:r w:rsidR="00ED3820">
              <w:rPr>
                <w:rFonts w:ascii="Arial" w:hAnsi="Arial" w:cs="Arial"/>
                <w:sz w:val="20"/>
                <w:szCs w:val="20"/>
              </w:rPr>
              <w:t>III.</w:t>
            </w:r>
            <w:r w:rsidR="00FE6B4B">
              <w:rPr>
                <w:rFonts w:ascii="Arial" w:hAnsi="Arial" w:cs="Arial"/>
                <w:sz w:val="20"/>
                <w:szCs w:val="20"/>
              </w:rPr>
              <w:t xml:space="preserve"> melléklet</w:t>
            </w:r>
            <w:r w:rsidR="00FE6B4B" w:rsidRPr="00191B6F">
              <w:rPr>
                <w:rFonts w:ascii="Arial" w:hAnsi="Arial" w:cs="Arial"/>
                <w:sz w:val="20"/>
                <w:szCs w:val="20"/>
              </w:rPr>
              <w:t xml:space="preserve"> </w:t>
            </w:r>
            <w:r w:rsidR="00FE6B4B">
              <w:rPr>
                <w:rFonts w:ascii="Arial" w:hAnsi="Arial" w:cs="Arial"/>
                <w:sz w:val="20"/>
                <w:szCs w:val="20"/>
              </w:rPr>
              <w:t xml:space="preserve">F </w:t>
            </w:r>
            <w:r w:rsidR="00FE6B4B" w:rsidRPr="00191B6F">
              <w:rPr>
                <w:rFonts w:ascii="Arial" w:hAnsi="Arial" w:cs="Arial"/>
                <w:sz w:val="20"/>
                <w:szCs w:val="20"/>
              </w:rPr>
              <w:t xml:space="preserve">08.01 tábla, </w:t>
            </w:r>
            <w:r w:rsidR="00FD042A">
              <w:rPr>
                <w:rFonts w:ascii="Arial" w:hAnsi="Arial" w:cs="Arial"/>
                <w:sz w:val="20"/>
                <w:szCs w:val="20"/>
              </w:rPr>
              <w:t>0</w:t>
            </w:r>
            <w:r w:rsidR="00FE6B4B" w:rsidRPr="00191B6F">
              <w:rPr>
                <w:rFonts w:ascii="Arial" w:hAnsi="Arial" w:cs="Arial"/>
                <w:sz w:val="20"/>
                <w:szCs w:val="20"/>
              </w:rPr>
              <w:t>320</w:t>
            </w:r>
            <w:r w:rsidR="00FE6B4B">
              <w:rPr>
                <w:rFonts w:ascii="Arial" w:hAnsi="Arial" w:cs="Arial"/>
                <w:sz w:val="20"/>
                <w:szCs w:val="20"/>
              </w:rPr>
              <w:t>.+</w:t>
            </w:r>
            <w:r w:rsidR="00FD042A">
              <w:rPr>
                <w:rFonts w:ascii="Arial" w:hAnsi="Arial" w:cs="Arial"/>
                <w:sz w:val="20"/>
                <w:szCs w:val="20"/>
              </w:rPr>
              <w:t>0</w:t>
            </w:r>
            <w:r w:rsidR="00FE6B4B" w:rsidRPr="00191B6F">
              <w:rPr>
                <w:rFonts w:ascii="Arial" w:hAnsi="Arial" w:cs="Arial"/>
                <w:sz w:val="20"/>
                <w:szCs w:val="20"/>
              </w:rPr>
              <w:t>330</w:t>
            </w:r>
            <w:r w:rsidR="00FE6B4B">
              <w:rPr>
                <w:rFonts w:ascii="Arial" w:hAnsi="Arial" w:cs="Arial"/>
                <w:sz w:val="20"/>
                <w:szCs w:val="20"/>
              </w:rPr>
              <w:t>.+</w:t>
            </w:r>
            <w:r w:rsidR="00FD042A">
              <w:rPr>
                <w:rFonts w:ascii="Arial" w:hAnsi="Arial" w:cs="Arial"/>
                <w:sz w:val="20"/>
                <w:szCs w:val="20"/>
              </w:rPr>
              <w:t>0</w:t>
            </w:r>
            <w:r w:rsidR="00FE6B4B" w:rsidRPr="00191B6F">
              <w:rPr>
                <w:rFonts w:ascii="Arial" w:hAnsi="Arial" w:cs="Arial"/>
                <w:sz w:val="20"/>
                <w:szCs w:val="20"/>
              </w:rPr>
              <w:t>340</w:t>
            </w:r>
            <w:r w:rsidR="00FE6B4B">
              <w:rPr>
                <w:rFonts w:ascii="Arial" w:hAnsi="Arial" w:cs="Arial"/>
                <w:sz w:val="20"/>
                <w:szCs w:val="20"/>
              </w:rPr>
              <w:t>.</w:t>
            </w:r>
            <w:r w:rsidR="00FE6B4B" w:rsidRPr="00191B6F">
              <w:rPr>
                <w:rFonts w:ascii="Arial" w:hAnsi="Arial" w:cs="Arial"/>
                <w:sz w:val="20"/>
                <w:szCs w:val="20"/>
              </w:rPr>
              <w:t xml:space="preserve"> sor, </w:t>
            </w:r>
            <w:r w:rsidR="00FD042A">
              <w:rPr>
                <w:rFonts w:ascii="Arial" w:hAnsi="Arial" w:cs="Arial"/>
                <w:sz w:val="20"/>
                <w:szCs w:val="20"/>
              </w:rPr>
              <w:t>0</w:t>
            </w:r>
            <w:r w:rsidR="00FE6B4B" w:rsidRPr="0020187F">
              <w:rPr>
                <w:rFonts w:ascii="Arial" w:hAnsi="Arial" w:cs="Arial"/>
                <w:sz w:val="20"/>
                <w:szCs w:val="20"/>
              </w:rPr>
              <w:t>010.+</w:t>
            </w:r>
            <w:r w:rsidR="00FD042A">
              <w:rPr>
                <w:rFonts w:ascii="Arial" w:hAnsi="Arial" w:cs="Arial"/>
                <w:sz w:val="20"/>
                <w:szCs w:val="20"/>
              </w:rPr>
              <w:t>0</w:t>
            </w:r>
            <w:r w:rsidR="00FE6B4B" w:rsidRPr="006E7F3E">
              <w:rPr>
                <w:rFonts w:ascii="Arial" w:hAnsi="Arial" w:cs="Arial"/>
                <w:sz w:val="20"/>
                <w:szCs w:val="20"/>
              </w:rPr>
              <w:t>020.+</w:t>
            </w:r>
            <w:r w:rsidR="00FD042A">
              <w:rPr>
                <w:rFonts w:ascii="Arial" w:hAnsi="Arial" w:cs="Arial"/>
                <w:sz w:val="20"/>
                <w:szCs w:val="20"/>
              </w:rPr>
              <w:t>0</w:t>
            </w:r>
            <w:r w:rsidR="00FE6B4B" w:rsidRPr="006E7F3E">
              <w:rPr>
                <w:rFonts w:ascii="Arial" w:hAnsi="Arial" w:cs="Arial"/>
                <w:sz w:val="20"/>
                <w:szCs w:val="20"/>
              </w:rPr>
              <w:t>030. oszlop</w:t>
            </w:r>
          </w:p>
        </w:tc>
      </w:tr>
      <w:tr w:rsidR="00FE6B4B" w:rsidRPr="00191B6F" w14:paraId="07EFB58B" w14:textId="77777777" w:rsidTr="00D23413">
        <w:tc>
          <w:tcPr>
            <w:tcW w:w="959" w:type="dxa"/>
            <w:shd w:val="clear" w:color="auto" w:fill="auto"/>
            <w:tcMar>
              <w:top w:w="85" w:type="dxa"/>
            </w:tcMar>
            <w:vAlign w:val="center"/>
          </w:tcPr>
          <w:p w14:paraId="5CA0681E"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030</w:t>
            </w:r>
          </w:p>
        </w:tc>
        <w:tc>
          <w:tcPr>
            <w:tcW w:w="1276" w:type="dxa"/>
            <w:vAlign w:val="center"/>
          </w:tcPr>
          <w:p w14:paraId="10C737BE" w14:textId="77777777" w:rsidR="00FE6B4B" w:rsidRDefault="00FE6B4B" w:rsidP="00D16669">
            <w:pPr>
              <w:contextualSpacing/>
              <w:rPr>
                <w:rFonts w:ascii="Arial" w:hAnsi="Arial" w:cs="Arial"/>
                <w:sz w:val="20"/>
                <w:szCs w:val="20"/>
              </w:rPr>
            </w:pPr>
            <w:r w:rsidRPr="00222297">
              <w:rPr>
                <w:rFonts w:ascii="Arial" w:hAnsi="Arial" w:cs="Arial"/>
                <w:sz w:val="20"/>
                <w:szCs w:val="20"/>
              </w:rPr>
              <w:t>1.2.1.</w:t>
            </w:r>
          </w:p>
        </w:tc>
        <w:tc>
          <w:tcPr>
            <w:tcW w:w="3147" w:type="dxa"/>
            <w:shd w:val="clear" w:color="auto" w:fill="auto"/>
            <w:tcMar>
              <w:top w:w="85" w:type="dxa"/>
            </w:tcMar>
            <w:vAlign w:val="center"/>
          </w:tcPr>
          <w:p w14:paraId="45B23CA1" w14:textId="3945E797" w:rsidR="00FE6B4B" w:rsidRPr="00191B6F" w:rsidRDefault="00FE6B4B" w:rsidP="00637D24">
            <w:pPr>
              <w:contextualSpacing/>
              <w:jc w:val="both"/>
              <w:rPr>
                <w:rFonts w:ascii="Arial" w:hAnsi="Arial" w:cs="Arial"/>
                <w:sz w:val="20"/>
                <w:szCs w:val="20"/>
              </w:rPr>
            </w:pPr>
            <w:r>
              <w:rPr>
                <w:rFonts w:ascii="Arial" w:hAnsi="Arial" w:cs="Arial"/>
                <w:sz w:val="20"/>
                <w:szCs w:val="20"/>
              </w:rPr>
              <w:t>H</w:t>
            </w:r>
            <w:r w:rsidRPr="00191B6F">
              <w:rPr>
                <w:rFonts w:ascii="Arial" w:hAnsi="Arial" w:cs="Arial"/>
                <w:sz w:val="20"/>
                <w:szCs w:val="20"/>
              </w:rPr>
              <w:t>azai tevékenység</w:t>
            </w:r>
            <w:r w:rsidR="00ED3820">
              <w:rPr>
                <w:rFonts w:ascii="Arial" w:hAnsi="Arial" w:cs="Arial"/>
                <w:sz w:val="20"/>
                <w:szCs w:val="20"/>
              </w:rPr>
              <w:t>ek</w:t>
            </w:r>
          </w:p>
        </w:tc>
        <w:tc>
          <w:tcPr>
            <w:tcW w:w="4082" w:type="dxa"/>
            <w:shd w:val="clear" w:color="auto" w:fill="auto"/>
            <w:tcMar>
              <w:top w:w="85" w:type="dxa"/>
            </w:tcMar>
            <w:vAlign w:val="center"/>
          </w:tcPr>
          <w:p w14:paraId="61CCC6B3" w14:textId="721683E1" w:rsidR="00FE6B4B" w:rsidRPr="00191B6F" w:rsidRDefault="00D2613E" w:rsidP="00637D24">
            <w:pPr>
              <w:contextualSpacing/>
              <w:jc w:val="both"/>
              <w:rPr>
                <w:rFonts w:ascii="Arial" w:hAnsi="Arial" w:cs="Arial"/>
                <w:sz w:val="20"/>
                <w:szCs w:val="20"/>
              </w:rPr>
            </w:pPr>
            <w:r>
              <w:rPr>
                <w:rFonts w:ascii="Arial" w:hAnsi="Arial" w:cs="Arial"/>
                <w:sz w:val="20"/>
                <w:szCs w:val="20"/>
              </w:rPr>
              <w:t>(EU) 2021/451</w:t>
            </w:r>
            <w:r w:rsidR="00FE6B4B">
              <w:rPr>
                <w:rFonts w:ascii="Arial" w:hAnsi="Arial" w:cs="Arial"/>
                <w:sz w:val="20"/>
                <w:szCs w:val="20"/>
              </w:rPr>
              <w:t xml:space="preserve"> bizottsági végrehajtási rendelet</w:t>
            </w:r>
            <w:r w:rsidR="00FE6B4B" w:rsidRPr="00191B6F">
              <w:rPr>
                <w:rFonts w:ascii="Arial" w:hAnsi="Arial" w:cs="Arial"/>
                <w:sz w:val="20"/>
                <w:szCs w:val="20"/>
              </w:rPr>
              <w:t xml:space="preserve"> V. melléklet 2. rész </w:t>
            </w:r>
            <w:r w:rsidR="009D58FD">
              <w:rPr>
                <w:rFonts w:ascii="Arial" w:hAnsi="Arial" w:cs="Arial"/>
                <w:sz w:val="20"/>
                <w:szCs w:val="20"/>
              </w:rPr>
              <w:t>270</w:t>
            </w:r>
            <w:r w:rsidR="00FE6B4B" w:rsidRPr="00191B6F">
              <w:rPr>
                <w:rFonts w:ascii="Arial" w:hAnsi="Arial" w:cs="Arial"/>
                <w:sz w:val="20"/>
                <w:szCs w:val="20"/>
              </w:rPr>
              <w:t>. pont</w:t>
            </w:r>
          </w:p>
        </w:tc>
      </w:tr>
      <w:tr w:rsidR="00ED3820" w:rsidRPr="00191B6F" w14:paraId="65CA6071" w14:textId="77777777" w:rsidTr="00D23413">
        <w:tc>
          <w:tcPr>
            <w:tcW w:w="959" w:type="dxa"/>
            <w:shd w:val="clear" w:color="auto" w:fill="auto"/>
            <w:tcMar>
              <w:top w:w="85" w:type="dxa"/>
            </w:tcMar>
            <w:vAlign w:val="center"/>
          </w:tcPr>
          <w:p w14:paraId="4107BBC1" w14:textId="77777777" w:rsidR="00ED3820" w:rsidRPr="00191B6F" w:rsidRDefault="00ED3820" w:rsidP="00ED3820">
            <w:pPr>
              <w:contextualSpacing/>
              <w:rPr>
                <w:rFonts w:ascii="Arial" w:hAnsi="Arial" w:cs="Arial"/>
                <w:sz w:val="20"/>
                <w:szCs w:val="20"/>
              </w:rPr>
            </w:pPr>
            <w:r w:rsidRPr="00191B6F">
              <w:rPr>
                <w:rFonts w:ascii="Arial" w:hAnsi="Arial" w:cs="Arial"/>
                <w:sz w:val="20"/>
                <w:szCs w:val="20"/>
              </w:rPr>
              <w:t>060</w:t>
            </w:r>
          </w:p>
        </w:tc>
        <w:tc>
          <w:tcPr>
            <w:tcW w:w="1276" w:type="dxa"/>
            <w:vAlign w:val="center"/>
          </w:tcPr>
          <w:p w14:paraId="60BAAD88" w14:textId="77777777" w:rsidR="00ED3820" w:rsidRPr="00191B6F" w:rsidRDefault="00ED3820" w:rsidP="00ED3820">
            <w:pPr>
              <w:contextualSpacing/>
              <w:rPr>
                <w:rFonts w:ascii="Arial" w:hAnsi="Arial" w:cs="Arial"/>
                <w:sz w:val="20"/>
                <w:szCs w:val="20"/>
              </w:rPr>
            </w:pPr>
            <w:r w:rsidRPr="00222297">
              <w:rPr>
                <w:rFonts w:ascii="Arial" w:hAnsi="Arial" w:cs="Arial"/>
                <w:sz w:val="20"/>
                <w:szCs w:val="20"/>
              </w:rPr>
              <w:t>1.3.</w:t>
            </w:r>
          </w:p>
        </w:tc>
        <w:tc>
          <w:tcPr>
            <w:tcW w:w="3147" w:type="dxa"/>
            <w:shd w:val="clear" w:color="auto" w:fill="auto"/>
            <w:tcMar>
              <w:top w:w="85" w:type="dxa"/>
            </w:tcMar>
            <w:vAlign w:val="center"/>
          </w:tcPr>
          <w:p w14:paraId="74A0331D" w14:textId="2B295EB7" w:rsidR="00ED3820" w:rsidRPr="00191B6F" w:rsidRDefault="00ED3820" w:rsidP="00637D24">
            <w:pPr>
              <w:contextualSpacing/>
              <w:jc w:val="both"/>
              <w:rPr>
                <w:rFonts w:ascii="Arial" w:hAnsi="Arial" w:cs="Arial"/>
                <w:sz w:val="20"/>
                <w:szCs w:val="20"/>
              </w:rPr>
            </w:pPr>
            <w:r>
              <w:rPr>
                <w:rFonts w:ascii="Arial" w:hAnsi="Arial" w:cs="Arial"/>
                <w:sz w:val="20"/>
                <w:szCs w:val="20"/>
              </w:rPr>
              <w:t>N</w:t>
            </w:r>
            <w:r w:rsidRPr="00191B6F">
              <w:rPr>
                <w:rFonts w:ascii="Arial" w:hAnsi="Arial" w:cs="Arial"/>
                <w:sz w:val="20"/>
                <w:szCs w:val="20"/>
              </w:rPr>
              <w:t>em pénzügyi vállalatoktól</w:t>
            </w:r>
            <w:r>
              <w:rPr>
                <w:rFonts w:ascii="Arial" w:hAnsi="Arial" w:cs="Arial"/>
                <w:sz w:val="20"/>
                <w:szCs w:val="20"/>
              </w:rPr>
              <w:t xml:space="preserve"> kapott betétek</w:t>
            </w:r>
          </w:p>
        </w:tc>
        <w:tc>
          <w:tcPr>
            <w:tcW w:w="4082" w:type="dxa"/>
            <w:shd w:val="clear" w:color="auto" w:fill="auto"/>
            <w:tcMar>
              <w:top w:w="85" w:type="dxa"/>
            </w:tcMar>
            <w:vAlign w:val="center"/>
          </w:tcPr>
          <w:p w14:paraId="40D5D147" w14:textId="220CDD93" w:rsidR="00ED3820" w:rsidRPr="00191B6F" w:rsidRDefault="00D2613E" w:rsidP="00637D24">
            <w:pPr>
              <w:contextualSpacing/>
              <w:jc w:val="both"/>
              <w:rPr>
                <w:rFonts w:ascii="Arial" w:hAnsi="Arial" w:cs="Arial"/>
                <w:sz w:val="20"/>
                <w:szCs w:val="20"/>
              </w:rPr>
            </w:pPr>
            <w:r>
              <w:rPr>
                <w:rFonts w:ascii="Arial" w:hAnsi="Arial" w:cs="Arial"/>
                <w:sz w:val="20"/>
                <w:szCs w:val="20"/>
              </w:rPr>
              <w:t>(EU) 2021/451</w:t>
            </w:r>
            <w:r w:rsidR="00ED3820">
              <w:rPr>
                <w:rFonts w:ascii="Arial" w:hAnsi="Arial" w:cs="Arial"/>
                <w:sz w:val="20"/>
                <w:szCs w:val="20"/>
              </w:rPr>
              <w:t xml:space="preserve"> bizottsági végrehajtási rendelet III. melléklet F 08.01 tábla, </w:t>
            </w:r>
            <w:r w:rsidR="00FD042A">
              <w:rPr>
                <w:rFonts w:ascii="Arial" w:hAnsi="Arial" w:cs="Arial"/>
                <w:sz w:val="20"/>
                <w:szCs w:val="20"/>
              </w:rPr>
              <w:t>0</w:t>
            </w:r>
            <w:r w:rsidR="00ED3820">
              <w:rPr>
                <w:rFonts w:ascii="Arial" w:hAnsi="Arial" w:cs="Arial"/>
                <w:sz w:val="20"/>
                <w:szCs w:val="20"/>
              </w:rPr>
              <w:t>270.+</w:t>
            </w:r>
            <w:r w:rsidR="00FD042A">
              <w:rPr>
                <w:rFonts w:ascii="Arial" w:hAnsi="Arial" w:cs="Arial"/>
                <w:sz w:val="20"/>
                <w:szCs w:val="20"/>
              </w:rPr>
              <w:t>0</w:t>
            </w:r>
            <w:r w:rsidR="00ED3820" w:rsidRPr="00191B6F">
              <w:rPr>
                <w:rFonts w:ascii="Arial" w:hAnsi="Arial" w:cs="Arial"/>
                <w:sz w:val="20"/>
                <w:szCs w:val="20"/>
              </w:rPr>
              <w:t>280</w:t>
            </w:r>
            <w:r w:rsidR="00ED3820">
              <w:rPr>
                <w:rFonts w:ascii="Arial" w:hAnsi="Arial" w:cs="Arial"/>
                <w:sz w:val="20"/>
                <w:szCs w:val="20"/>
              </w:rPr>
              <w:t>.+</w:t>
            </w:r>
            <w:r w:rsidR="00FD042A">
              <w:rPr>
                <w:rFonts w:ascii="Arial" w:hAnsi="Arial" w:cs="Arial"/>
                <w:sz w:val="20"/>
                <w:szCs w:val="20"/>
              </w:rPr>
              <w:t>0</w:t>
            </w:r>
            <w:r w:rsidR="00ED3820" w:rsidRPr="00191B6F">
              <w:rPr>
                <w:rFonts w:ascii="Arial" w:hAnsi="Arial" w:cs="Arial"/>
                <w:sz w:val="20"/>
                <w:szCs w:val="20"/>
              </w:rPr>
              <w:t>290</w:t>
            </w:r>
            <w:r w:rsidR="00ED3820">
              <w:rPr>
                <w:rFonts w:ascii="Arial" w:hAnsi="Arial" w:cs="Arial"/>
                <w:sz w:val="20"/>
                <w:szCs w:val="20"/>
              </w:rPr>
              <w:t xml:space="preserve">. </w:t>
            </w:r>
            <w:r w:rsidR="00ED3820" w:rsidRPr="00191B6F">
              <w:rPr>
                <w:rFonts w:ascii="Arial" w:hAnsi="Arial" w:cs="Arial"/>
                <w:sz w:val="20"/>
                <w:szCs w:val="20"/>
              </w:rPr>
              <w:t xml:space="preserve">sor, </w:t>
            </w:r>
            <w:r w:rsidR="00FD042A">
              <w:rPr>
                <w:rFonts w:ascii="Arial" w:hAnsi="Arial" w:cs="Arial"/>
                <w:sz w:val="20"/>
                <w:szCs w:val="20"/>
              </w:rPr>
              <w:t>0</w:t>
            </w:r>
            <w:r w:rsidR="00ED3820" w:rsidRPr="00191B6F">
              <w:rPr>
                <w:rFonts w:ascii="Arial" w:hAnsi="Arial" w:cs="Arial"/>
                <w:sz w:val="20"/>
                <w:szCs w:val="20"/>
              </w:rPr>
              <w:t>010</w:t>
            </w:r>
            <w:r w:rsidR="00ED3820">
              <w:rPr>
                <w:rFonts w:ascii="Arial" w:hAnsi="Arial" w:cs="Arial"/>
                <w:sz w:val="20"/>
                <w:szCs w:val="20"/>
              </w:rPr>
              <w:t>.+</w:t>
            </w:r>
            <w:r w:rsidR="00FD042A">
              <w:rPr>
                <w:rFonts w:ascii="Arial" w:hAnsi="Arial" w:cs="Arial"/>
                <w:sz w:val="20"/>
                <w:szCs w:val="20"/>
              </w:rPr>
              <w:t>0</w:t>
            </w:r>
            <w:r w:rsidR="00ED3820" w:rsidRPr="00191B6F">
              <w:rPr>
                <w:rFonts w:ascii="Arial" w:hAnsi="Arial" w:cs="Arial"/>
                <w:sz w:val="20"/>
                <w:szCs w:val="20"/>
              </w:rPr>
              <w:t>020</w:t>
            </w:r>
            <w:r w:rsidR="00ED3820">
              <w:rPr>
                <w:rFonts w:ascii="Arial" w:hAnsi="Arial" w:cs="Arial"/>
                <w:sz w:val="20"/>
                <w:szCs w:val="20"/>
              </w:rPr>
              <w:t>.+</w:t>
            </w:r>
            <w:r w:rsidR="00FD042A">
              <w:rPr>
                <w:rFonts w:ascii="Arial" w:hAnsi="Arial" w:cs="Arial"/>
                <w:sz w:val="20"/>
                <w:szCs w:val="20"/>
              </w:rPr>
              <w:t>0</w:t>
            </w:r>
            <w:r w:rsidR="00ED3820" w:rsidRPr="00191B6F">
              <w:rPr>
                <w:rFonts w:ascii="Arial" w:hAnsi="Arial" w:cs="Arial"/>
                <w:sz w:val="20"/>
                <w:szCs w:val="20"/>
              </w:rPr>
              <w:t>030</w:t>
            </w:r>
            <w:r w:rsidR="00ED3820">
              <w:rPr>
                <w:rFonts w:ascii="Arial" w:hAnsi="Arial" w:cs="Arial"/>
                <w:sz w:val="20"/>
                <w:szCs w:val="20"/>
              </w:rPr>
              <w:t xml:space="preserve">. </w:t>
            </w:r>
            <w:r w:rsidR="00ED3820" w:rsidRPr="00191B6F">
              <w:rPr>
                <w:rFonts w:ascii="Arial" w:hAnsi="Arial" w:cs="Arial"/>
                <w:sz w:val="20"/>
                <w:szCs w:val="20"/>
              </w:rPr>
              <w:t xml:space="preserve">oszlop </w:t>
            </w:r>
          </w:p>
        </w:tc>
      </w:tr>
      <w:tr w:rsidR="00ED3820" w:rsidRPr="00191B6F" w14:paraId="65D819B4" w14:textId="77777777" w:rsidTr="00D23413">
        <w:tc>
          <w:tcPr>
            <w:tcW w:w="959" w:type="dxa"/>
            <w:shd w:val="clear" w:color="auto" w:fill="auto"/>
            <w:tcMar>
              <w:top w:w="85" w:type="dxa"/>
            </w:tcMar>
            <w:vAlign w:val="center"/>
          </w:tcPr>
          <w:p w14:paraId="1FE2AC1D" w14:textId="77777777" w:rsidR="00ED3820" w:rsidRPr="00191B6F" w:rsidRDefault="00ED3820" w:rsidP="00ED3820">
            <w:pPr>
              <w:contextualSpacing/>
              <w:rPr>
                <w:rFonts w:ascii="Arial" w:hAnsi="Arial" w:cs="Arial"/>
                <w:sz w:val="20"/>
                <w:szCs w:val="20"/>
              </w:rPr>
            </w:pPr>
            <w:r>
              <w:rPr>
                <w:rFonts w:ascii="Arial" w:hAnsi="Arial" w:cs="Arial"/>
                <w:sz w:val="20"/>
                <w:szCs w:val="20"/>
              </w:rPr>
              <w:t>070</w:t>
            </w:r>
          </w:p>
        </w:tc>
        <w:tc>
          <w:tcPr>
            <w:tcW w:w="1276" w:type="dxa"/>
            <w:vAlign w:val="center"/>
          </w:tcPr>
          <w:p w14:paraId="55F19EF0" w14:textId="77777777" w:rsidR="00ED3820" w:rsidRDefault="00ED3820" w:rsidP="00ED3820">
            <w:pPr>
              <w:contextualSpacing/>
              <w:rPr>
                <w:rFonts w:ascii="Arial" w:hAnsi="Arial" w:cs="Arial"/>
                <w:sz w:val="20"/>
                <w:szCs w:val="20"/>
              </w:rPr>
            </w:pPr>
            <w:r w:rsidRPr="00222297">
              <w:rPr>
                <w:rFonts w:ascii="Arial" w:hAnsi="Arial" w:cs="Arial"/>
                <w:sz w:val="20"/>
                <w:szCs w:val="20"/>
              </w:rPr>
              <w:t>1.3.1.</w:t>
            </w:r>
          </w:p>
        </w:tc>
        <w:tc>
          <w:tcPr>
            <w:tcW w:w="3147" w:type="dxa"/>
            <w:shd w:val="clear" w:color="auto" w:fill="auto"/>
            <w:tcMar>
              <w:top w:w="85" w:type="dxa"/>
            </w:tcMar>
            <w:vAlign w:val="center"/>
          </w:tcPr>
          <w:p w14:paraId="316B4530" w14:textId="474A327C" w:rsidR="00ED3820" w:rsidRPr="00191B6F" w:rsidRDefault="00ED3820" w:rsidP="00637D24">
            <w:pPr>
              <w:contextualSpacing/>
              <w:jc w:val="both"/>
              <w:rPr>
                <w:rFonts w:ascii="Arial" w:hAnsi="Arial" w:cs="Arial"/>
                <w:sz w:val="20"/>
                <w:szCs w:val="20"/>
              </w:rPr>
            </w:pPr>
            <w:r>
              <w:rPr>
                <w:rFonts w:ascii="Arial" w:hAnsi="Arial" w:cs="Arial"/>
                <w:sz w:val="20"/>
                <w:szCs w:val="20"/>
              </w:rPr>
              <w:t>H</w:t>
            </w:r>
            <w:r w:rsidRPr="00191B6F">
              <w:rPr>
                <w:rFonts w:ascii="Arial" w:hAnsi="Arial" w:cs="Arial"/>
                <w:sz w:val="20"/>
                <w:szCs w:val="20"/>
              </w:rPr>
              <w:t>azai tevékenység</w:t>
            </w:r>
            <w:r>
              <w:rPr>
                <w:rFonts w:ascii="Arial" w:hAnsi="Arial" w:cs="Arial"/>
                <w:sz w:val="20"/>
                <w:szCs w:val="20"/>
              </w:rPr>
              <w:t>ek</w:t>
            </w:r>
          </w:p>
        </w:tc>
        <w:tc>
          <w:tcPr>
            <w:tcW w:w="4082" w:type="dxa"/>
            <w:shd w:val="clear" w:color="auto" w:fill="auto"/>
            <w:tcMar>
              <w:top w:w="85" w:type="dxa"/>
            </w:tcMar>
            <w:vAlign w:val="center"/>
          </w:tcPr>
          <w:p w14:paraId="7B4A20C5" w14:textId="3E0950A2" w:rsidR="00ED3820" w:rsidRPr="00191B6F" w:rsidRDefault="00D2613E" w:rsidP="00637D24">
            <w:pPr>
              <w:contextualSpacing/>
              <w:jc w:val="both"/>
              <w:rPr>
                <w:rFonts w:ascii="Arial" w:hAnsi="Arial" w:cs="Arial"/>
                <w:sz w:val="20"/>
                <w:szCs w:val="20"/>
              </w:rPr>
            </w:pPr>
            <w:r>
              <w:rPr>
                <w:rFonts w:ascii="Arial" w:hAnsi="Arial" w:cs="Arial"/>
                <w:sz w:val="20"/>
                <w:szCs w:val="20"/>
              </w:rPr>
              <w:t>(EU) 2021/451</w:t>
            </w:r>
            <w:r w:rsidR="00ED3820">
              <w:rPr>
                <w:rFonts w:ascii="Arial" w:hAnsi="Arial" w:cs="Arial"/>
                <w:sz w:val="20"/>
                <w:szCs w:val="20"/>
              </w:rPr>
              <w:t xml:space="preserve"> bizottsági végrehajtási rendelet</w:t>
            </w:r>
            <w:r w:rsidR="00ED3820" w:rsidRPr="00191B6F">
              <w:rPr>
                <w:rFonts w:ascii="Arial" w:hAnsi="Arial" w:cs="Arial"/>
                <w:sz w:val="20"/>
                <w:szCs w:val="20"/>
              </w:rPr>
              <w:t xml:space="preserve"> V. melléklet 2. rész </w:t>
            </w:r>
            <w:r w:rsidR="00ED3820">
              <w:rPr>
                <w:rFonts w:ascii="Arial" w:hAnsi="Arial" w:cs="Arial"/>
                <w:sz w:val="20"/>
                <w:szCs w:val="20"/>
              </w:rPr>
              <w:t>270</w:t>
            </w:r>
            <w:r w:rsidR="00ED3820" w:rsidRPr="00191B6F">
              <w:rPr>
                <w:rFonts w:ascii="Arial" w:hAnsi="Arial" w:cs="Arial"/>
                <w:sz w:val="20"/>
                <w:szCs w:val="20"/>
              </w:rPr>
              <w:t>. pont</w:t>
            </w:r>
          </w:p>
        </w:tc>
      </w:tr>
      <w:tr w:rsidR="00ED3820" w:rsidRPr="00191B6F" w14:paraId="334A9E05" w14:textId="77777777" w:rsidTr="00637D24">
        <w:trPr>
          <w:trHeight w:val="347"/>
        </w:trPr>
        <w:tc>
          <w:tcPr>
            <w:tcW w:w="959" w:type="dxa"/>
            <w:shd w:val="clear" w:color="auto" w:fill="auto"/>
            <w:tcMar>
              <w:top w:w="85" w:type="dxa"/>
            </w:tcMar>
            <w:vAlign w:val="center"/>
          </w:tcPr>
          <w:p w14:paraId="076A63FA" w14:textId="77777777" w:rsidR="00ED3820" w:rsidRPr="00191B6F" w:rsidRDefault="00ED3820" w:rsidP="00ED3820">
            <w:pPr>
              <w:contextualSpacing/>
              <w:rPr>
                <w:rFonts w:ascii="Arial" w:hAnsi="Arial" w:cs="Arial"/>
                <w:sz w:val="20"/>
                <w:szCs w:val="20"/>
              </w:rPr>
            </w:pPr>
            <w:r w:rsidRPr="00191B6F">
              <w:rPr>
                <w:rFonts w:ascii="Arial" w:hAnsi="Arial" w:cs="Arial"/>
                <w:sz w:val="20"/>
                <w:szCs w:val="20"/>
              </w:rPr>
              <w:t>100</w:t>
            </w:r>
          </w:p>
        </w:tc>
        <w:tc>
          <w:tcPr>
            <w:tcW w:w="1276" w:type="dxa"/>
            <w:vAlign w:val="center"/>
          </w:tcPr>
          <w:p w14:paraId="178A1CD7" w14:textId="77777777" w:rsidR="00ED3820" w:rsidRDefault="00ED3820" w:rsidP="00ED3820">
            <w:pPr>
              <w:contextualSpacing/>
              <w:rPr>
                <w:rFonts w:ascii="Arial" w:hAnsi="Arial" w:cs="Arial"/>
                <w:sz w:val="20"/>
                <w:szCs w:val="20"/>
              </w:rPr>
            </w:pPr>
            <w:r w:rsidRPr="00222297">
              <w:rPr>
                <w:rFonts w:ascii="Arial" w:hAnsi="Arial" w:cs="Arial"/>
                <w:sz w:val="20"/>
                <w:szCs w:val="20"/>
              </w:rPr>
              <w:t>1.3.1.</w:t>
            </w:r>
            <w:r>
              <w:rPr>
                <w:rFonts w:ascii="Arial" w:hAnsi="Arial" w:cs="Arial"/>
                <w:sz w:val="20"/>
                <w:szCs w:val="20"/>
              </w:rPr>
              <w:t>2</w:t>
            </w:r>
            <w:r w:rsidRPr="00222297">
              <w:rPr>
                <w:rFonts w:ascii="Arial" w:hAnsi="Arial" w:cs="Arial"/>
                <w:sz w:val="20"/>
                <w:szCs w:val="20"/>
              </w:rPr>
              <w:t>.</w:t>
            </w:r>
          </w:p>
        </w:tc>
        <w:tc>
          <w:tcPr>
            <w:tcW w:w="3147" w:type="dxa"/>
            <w:shd w:val="clear" w:color="auto" w:fill="auto"/>
            <w:tcMar>
              <w:top w:w="85" w:type="dxa"/>
            </w:tcMar>
            <w:vAlign w:val="center"/>
          </w:tcPr>
          <w:p w14:paraId="288129FA" w14:textId="4B5596AE" w:rsidR="00ED3820" w:rsidRPr="00191B6F" w:rsidRDefault="00ED3820" w:rsidP="00637D24">
            <w:pPr>
              <w:contextualSpacing/>
              <w:jc w:val="both"/>
              <w:rPr>
                <w:rFonts w:ascii="Arial" w:hAnsi="Arial" w:cs="Arial"/>
                <w:sz w:val="20"/>
                <w:szCs w:val="20"/>
              </w:rPr>
            </w:pPr>
            <w:r w:rsidRPr="00ED3820">
              <w:rPr>
                <w:rFonts w:ascii="Arial" w:hAnsi="Arial" w:cs="Arial"/>
                <w:sz w:val="20"/>
                <w:szCs w:val="20"/>
              </w:rPr>
              <w:t>Nem pénzügyi vállalatok KKV-k kivételével</w:t>
            </w:r>
          </w:p>
        </w:tc>
        <w:tc>
          <w:tcPr>
            <w:tcW w:w="4082" w:type="dxa"/>
            <w:shd w:val="clear" w:color="auto" w:fill="auto"/>
            <w:tcMar>
              <w:top w:w="85" w:type="dxa"/>
            </w:tcMar>
            <w:vAlign w:val="center"/>
          </w:tcPr>
          <w:p w14:paraId="7E34310C" w14:textId="77777777" w:rsidR="00ED3820" w:rsidRPr="00191B6F" w:rsidRDefault="00ED3820" w:rsidP="00637D24">
            <w:pPr>
              <w:contextualSpacing/>
              <w:jc w:val="both"/>
              <w:rPr>
                <w:rFonts w:ascii="Arial" w:hAnsi="Arial" w:cs="Arial"/>
                <w:sz w:val="20"/>
                <w:szCs w:val="20"/>
              </w:rPr>
            </w:pPr>
            <w:r w:rsidRPr="00191B6F">
              <w:rPr>
                <w:rFonts w:ascii="Arial" w:hAnsi="Arial" w:cs="Arial"/>
                <w:sz w:val="20"/>
                <w:szCs w:val="20"/>
              </w:rPr>
              <w:t>100 = 070 - 090</w:t>
            </w:r>
          </w:p>
        </w:tc>
      </w:tr>
      <w:tr w:rsidR="00ED3820" w:rsidRPr="00191B6F" w14:paraId="06EC04A0" w14:textId="77777777" w:rsidTr="00D23413">
        <w:tc>
          <w:tcPr>
            <w:tcW w:w="959" w:type="dxa"/>
            <w:shd w:val="clear" w:color="auto" w:fill="auto"/>
            <w:tcMar>
              <w:top w:w="85" w:type="dxa"/>
            </w:tcMar>
            <w:vAlign w:val="center"/>
          </w:tcPr>
          <w:p w14:paraId="15AFAE7C" w14:textId="4965D68B" w:rsidR="00ED3820" w:rsidRPr="009D7409" w:rsidRDefault="00ED3820" w:rsidP="00ED3820">
            <w:pPr>
              <w:contextualSpacing/>
              <w:rPr>
                <w:rFonts w:ascii="Arial" w:hAnsi="Arial" w:cs="Arial"/>
                <w:sz w:val="20"/>
                <w:szCs w:val="20"/>
              </w:rPr>
            </w:pPr>
            <w:r w:rsidRPr="009D7409">
              <w:rPr>
                <w:rFonts w:ascii="Arial" w:hAnsi="Arial" w:cs="Arial"/>
                <w:sz w:val="20"/>
                <w:szCs w:val="20"/>
              </w:rPr>
              <w:lastRenderedPageBreak/>
              <w:t>113</w:t>
            </w:r>
          </w:p>
        </w:tc>
        <w:tc>
          <w:tcPr>
            <w:tcW w:w="1276" w:type="dxa"/>
            <w:vAlign w:val="center"/>
          </w:tcPr>
          <w:p w14:paraId="0FC57EAD" w14:textId="375B887B" w:rsidR="00ED3820" w:rsidRPr="009D7409" w:rsidRDefault="00ED3820" w:rsidP="00ED3820">
            <w:pPr>
              <w:contextualSpacing/>
              <w:rPr>
                <w:rFonts w:ascii="Arial" w:hAnsi="Arial" w:cs="Arial"/>
                <w:sz w:val="20"/>
                <w:szCs w:val="20"/>
              </w:rPr>
            </w:pPr>
            <w:r w:rsidRPr="009D7409">
              <w:rPr>
                <w:rFonts w:ascii="Arial" w:hAnsi="Arial" w:cs="Arial"/>
                <w:sz w:val="20"/>
                <w:szCs w:val="20"/>
              </w:rPr>
              <w:t>1.3.2.2.</w:t>
            </w:r>
          </w:p>
        </w:tc>
        <w:tc>
          <w:tcPr>
            <w:tcW w:w="3147" w:type="dxa"/>
            <w:shd w:val="clear" w:color="auto" w:fill="auto"/>
            <w:tcMar>
              <w:top w:w="85" w:type="dxa"/>
            </w:tcMar>
            <w:vAlign w:val="center"/>
          </w:tcPr>
          <w:p w14:paraId="26996C18" w14:textId="2D826967" w:rsidR="00ED3820" w:rsidRPr="009D7409" w:rsidRDefault="00ED3820" w:rsidP="00637D24">
            <w:pPr>
              <w:contextualSpacing/>
              <w:jc w:val="both"/>
              <w:rPr>
                <w:rFonts w:ascii="Arial" w:hAnsi="Arial" w:cs="Arial"/>
                <w:sz w:val="20"/>
                <w:szCs w:val="20"/>
              </w:rPr>
            </w:pPr>
            <w:r w:rsidRPr="009D7409">
              <w:rPr>
                <w:rFonts w:ascii="Arial" w:hAnsi="Arial" w:cs="Arial"/>
                <w:sz w:val="20"/>
                <w:szCs w:val="20"/>
              </w:rPr>
              <w:t>Nem pénzügyi vállalatok KKV-k kivételével</w:t>
            </w:r>
          </w:p>
        </w:tc>
        <w:tc>
          <w:tcPr>
            <w:tcW w:w="4082" w:type="dxa"/>
            <w:shd w:val="clear" w:color="auto" w:fill="auto"/>
            <w:tcMar>
              <w:top w:w="85" w:type="dxa"/>
            </w:tcMar>
            <w:vAlign w:val="center"/>
          </w:tcPr>
          <w:p w14:paraId="66D4A5DD" w14:textId="772A0EA1" w:rsidR="00ED3820" w:rsidRPr="009D7409" w:rsidRDefault="00833ADF" w:rsidP="00637D24">
            <w:pPr>
              <w:pStyle w:val="Default"/>
              <w:jc w:val="both"/>
              <w:rPr>
                <w:rFonts w:ascii="Arial" w:hAnsi="Arial" w:cs="Arial"/>
                <w:sz w:val="20"/>
                <w:szCs w:val="20"/>
              </w:rPr>
            </w:pPr>
            <w:r>
              <w:rPr>
                <w:rFonts w:ascii="Arial" w:hAnsi="Arial" w:cs="Arial"/>
                <w:sz w:val="20"/>
                <w:szCs w:val="20"/>
              </w:rPr>
              <w:t>A</w:t>
            </w:r>
            <w:r w:rsidR="00CA25FB" w:rsidRPr="009D7409">
              <w:rPr>
                <w:rFonts w:ascii="Arial" w:hAnsi="Arial" w:cs="Arial"/>
                <w:sz w:val="20"/>
                <w:szCs w:val="20"/>
              </w:rPr>
              <w:t xml:space="preserve"> KKV-nek nem minősülő nem pénzügyi vállalatoktól származó</w:t>
            </w:r>
            <w:r w:rsidR="009D7409">
              <w:rPr>
                <w:rFonts w:ascii="Arial" w:hAnsi="Arial" w:cs="Arial"/>
                <w:sz w:val="20"/>
                <w:szCs w:val="20"/>
              </w:rPr>
              <w:t>,</w:t>
            </w:r>
            <w:r w:rsidR="00CA25FB" w:rsidRPr="009D7409">
              <w:rPr>
                <w:rFonts w:ascii="Arial" w:hAnsi="Arial" w:cs="Arial"/>
                <w:sz w:val="20"/>
                <w:szCs w:val="20"/>
              </w:rPr>
              <w:t xml:space="preserve"> az adatszolgáltató országától eltérő EGT</w:t>
            </w:r>
            <w:r w:rsidR="00977B7A">
              <w:rPr>
                <w:rFonts w:ascii="Arial" w:hAnsi="Arial" w:cs="Arial"/>
                <w:sz w:val="20"/>
                <w:szCs w:val="20"/>
              </w:rPr>
              <w:t>-</w:t>
            </w:r>
            <w:r w:rsidR="00257EE1">
              <w:rPr>
                <w:rFonts w:ascii="Arial" w:hAnsi="Arial" w:cs="Arial"/>
                <w:sz w:val="20"/>
                <w:szCs w:val="20"/>
              </w:rPr>
              <w:t>államokban</w:t>
            </w:r>
            <w:r w:rsidR="00156896">
              <w:rPr>
                <w:rFonts w:ascii="Arial" w:hAnsi="Arial" w:cs="Arial"/>
                <w:sz w:val="20"/>
                <w:szCs w:val="20"/>
              </w:rPr>
              <w:t xml:space="preserve"> </w:t>
            </w:r>
            <w:r w:rsidR="00CA25FB" w:rsidRPr="009D7409">
              <w:rPr>
                <w:rFonts w:ascii="Arial" w:hAnsi="Arial" w:cs="Arial"/>
                <w:sz w:val="20"/>
                <w:szCs w:val="20"/>
              </w:rPr>
              <w:t>lévő betétek</w:t>
            </w:r>
            <w:r>
              <w:rPr>
                <w:rFonts w:ascii="Arial" w:hAnsi="Arial" w:cs="Arial"/>
                <w:sz w:val="20"/>
                <w:szCs w:val="20"/>
              </w:rPr>
              <w:t xml:space="preserve"> </w:t>
            </w:r>
            <w:r w:rsidR="00CA25FB" w:rsidRPr="009D7409">
              <w:rPr>
                <w:rFonts w:ascii="Arial" w:hAnsi="Arial" w:cs="Arial"/>
                <w:sz w:val="20"/>
                <w:szCs w:val="20"/>
              </w:rPr>
              <w:t xml:space="preserve">(fordított visszavásárlási megállapodások kivételével). </w:t>
            </w:r>
          </w:p>
        </w:tc>
      </w:tr>
      <w:tr w:rsidR="00CA25FB" w:rsidRPr="00191B6F" w14:paraId="2E1676A9" w14:textId="77777777" w:rsidTr="00D23413">
        <w:tc>
          <w:tcPr>
            <w:tcW w:w="959" w:type="dxa"/>
            <w:shd w:val="clear" w:color="auto" w:fill="auto"/>
            <w:tcMar>
              <w:top w:w="85" w:type="dxa"/>
            </w:tcMar>
            <w:vAlign w:val="center"/>
          </w:tcPr>
          <w:p w14:paraId="7F7C010C" w14:textId="77777777" w:rsidR="00CA25FB" w:rsidRPr="00191B6F" w:rsidRDefault="00CA25FB" w:rsidP="00CA25FB">
            <w:pPr>
              <w:contextualSpacing/>
              <w:rPr>
                <w:rFonts w:ascii="Arial" w:hAnsi="Arial" w:cs="Arial"/>
                <w:sz w:val="20"/>
                <w:szCs w:val="20"/>
              </w:rPr>
            </w:pPr>
            <w:r w:rsidRPr="00191B6F">
              <w:rPr>
                <w:rFonts w:ascii="Arial" w:hAnsi="Arial" w:cs="Arial"/>
                <w:sz w:val="20"/>
                <w:szCs w:val="20"/>
              </w:rPr>
              <w:t>130</w:t>
            </w:r>
          </w:p>
        </w:tc>
        <w:tc>
          <w:tcPr>
            <w:tcW w:w="1276" w:type="dxa"/>
            <w:vAlign w:val="center"/>
          </w:tcPr>
          <w:p w14:paraId="5341207F" w14:textId="277433DB" w:rsidR="00CA25FB" w:rsidRDefault="00CA25FB" w:rsidP="00CA25FB">
            <w:pPr>
              <w:contextualSpacing/>
              <w:rPr>
                <w:rFonts w:ascii="Arial" w:hAnsi="Arial" w:cs="Arial"/>
                <w:sz w:val="20"/>
                <w:szCs w:val="20"/>
              </w:rPr>
            </w:pPr>
            <w:r w:rsidRPr="00222297">
              <w:rPr>
                <w:rFonts w:ascii="Arial" w:hAnsi="Arial" w:cs="Arial"/>
                <w:sz w:val="20"/>
                <w:szCs w:val="20"/>
              </w:rPr>
              <w:t>1.4.</w:t>
            </w:r>
          </w:p>
        </w:tc>
        <w:tc>
          <w:tcPr>
            <w:tcW w:w="3147" w:type="dxa"/>
            <w:shd w:val="clear" w:color="auto" w:fill="auto"/>
            <w:tcMar>
              <w:top w:w="85" w:type="dxa"/>
            </w:tcMar>
            <w:vAlign w:val="center"/>
          </w:tcPr>
          <w:p w14:paraId="04887AC9" w14:textId="11AAD3BB" w:rsidR="00CA25FB" w:rsidRPr="00191B6F" w:rsidRDefault="00CA25FB" w:rsidP="00637D24">
            <w:pPr>
              <w:contextualSpacing/>
              <w:jc w:val="both"/>
              <w:rPr>
                <w:rFonts w:ascii="Arial" w:hAnsi="Arial" w:cs="Arial"/>
                <w:sz w:val="20"/>
                <w:szCs w:val="20"/>
              </w:rPr>
            </w:pPr>
            <w:r w:rsidRPr="00191B6F">
              <w:rPr>
                <w:rFonts w:ascii="Arial" w:hAnsi="Arial" w:cs="Arial"/>
                <w:sz w:val="20"/>
                <w:szCs w:val="20"/>
              </w:rPr>
              <w:t>Hitelintézetektől</w:t>
            </w:r>
            <w:r w:rsidR="00ED2630" w:rsidRPr="00ED2630">
              <w:rPr>
                <w:rFonts w:ascii="Arial" w:hAnsi="Arial" w:cs="Arial"/>
                <w:sz w:val="20"/>
                <w:szCs w:val="20"/>
              </w:rPr>
              <w:t xml:space="preserve"> kapott betétek (visszavásárlási megállapodások kivételével)</w:t>
            </w:r>
          </w:p>
        </w:tc>
        <w:tc>
          <w:tcPr>
            <w:tcW w:w="4082" w:type="dxa"/>
            <w:shd w:val="clear" w:color="auto" w:fill="auto"/>
            <w:tcMar>
              <w:top w:w="85" w:type="dxa"/>
            </w:tcMar>
            <w:vAlign w:val="center"/>
          </w:tcPr>
          <w:p w14:paraId="02DB31E9" w14:textId="3F174FBC" w:rsidR="00CA25FB" w:rsidRPr="00191B6F" w:rsidRDefault="00D2613E" w:rsidP="00C07C1B">
            <w:pPr>
              <w:contextualSpacing/>
              <w:jc w:val="both"/>
              <w:rPr>
                <w:rFonts w:ascii="Arial" w:hAnsi="Arial" w:cs="Arial"/>
                <w:sz w:val="20"/>
                <w:szCs w:val="20"/>
              </w:rPr>
            </w:pPr>
            <w:r>
              <w:rPr>
                <w:rFonts w:ascii="Arial" w:hAnsi="Arial" w:cs="Arial"/>
                <w:sz w:val="20"/>
                <w:szCs w:val="20"/>
              </w:rPr>
              <w:t>(EU)2021/451</w:t>
            </w:r>
            <w:r w:rsidR="00CA25FB">
              <w:rPr>
                <w:rFonts w:ascii="Arial" w:hAnsi="Arial" w:cs="Arial"/>
                <w:sz w:val="20"/>
                <w:szCs w:val="20"/>
              </w:rPr>
              <w:t xml:space="preserve"> bizottsági végrehajtási rendelet </w:t>
            </w:r>
            <w:r w:rsidR="00ED2630">
              <w:rPr>
                <w:rFonts w:ascii="Arial" w:hAnsi="Arial" w:cs="Arial"/>
                <w:sz w:val="20"/>
                <w:szCs w:val="20"/>
              </w:rPr>
              <w:t xml:space="preserve">III. </w:t>
            </w:r>
            <w:r w:rsidR="00CA25FB">
              <w:rPr>
                <w:rFonts w:ascii="Arial" w:hAnsi="Arial" w:cs="Arial"/>
                <w:sz w:val="20"/>
                <w:szCs w:val="20"/>
              </w:rPr>
              <w:t xml:space="preserve">melléklet F </w:t>
            </w:r>
            <w:r w:rsidR="00CA25FB" w:rsidRPr="00191B6F">
              <w:rPr>
                <w:rFonts w:ascii="Arial" w:hAnsi="Arial" w:cs="Arial"/>
                <w:sz w:val="20"/>
                <w:szCs w:val="20"/>
              </w:rPr>
              <w:t xml:space="preserve">08.01 tábla, </w:t>
            </w:r>
            <w:r w:rsidR="00FD042A">
              <w:rPr>
                <w:rFonts w:ascii="Arial" w:hAnsi="Arial" w:cs="Arial"/>
                <w:sz w:val="20"/>
                <w:szCs w:val="20"/>
              </w:rPr>
              <w:t>0</w:t>
            </w:r>
            <w:r w:rsidR="00CA25FB">
              <w:rPr>
                <w:rFonts w:ascii="Arial" w:hAnsi="Arial" w:cs="Arial"/>
                <w:sz w:val="20"/>
                <w:szCs w:val="20"/>
              </w:rPr>
              <w:t>170.+</w:t>
            </w:r>
            <w:r w:rsidR="00FD042A">
              <w:rPr>
                <w:rFonts w:ascii="Arial" w:hAnsi="Arial" w:cs="Arial"/>
                <w:sz w:val="20"/>
                <w:szCs w:val="20"/>
              </w:rPr>
              <w:t>0</w:t>
            </w:r>
            <w:r w:rsidR="00CA25FB" w:rsidRPr="00191B6F">
              <w:rPr>
                <w:rFonts w:ascii="Arial" w:hAnsi="Arial" w:cs="Arial"/>
                <w:sz w:val="20"/>
                <w:szCs w:val="20"/>
              </w:rPr>
              <w:t>180</w:t>
            </w:r>
            <w:r w:rsidR="00CA25FB">
              <w:rPr>
                <w:rFonts w:ascii="Arial" w:hAnsi="Arial" w:cs="Arial"/>
                <w:sz w:val="20"/>
                <w:szCs w:val="20"/>
              </w:rPr>
              <w:t>.+</w:t>
            </w:r>
            <w:r w:rsidR="00FD042A">
              <w:rPr>
                <w:rFonts w:ascii="Arial" w:hAnsi="Arial" w:cs="Arial"/>
                <w:sz w:val="20"/>
                <w:szCs w:val="20"/>
              </w:rPr>
              <w:t>0</w:t>
            </w:r>
            <w:r w:rsidR="00CA25FB" w:rsidRPr="00191B6F">
              <w:rPr>
                <w:rFonts w:ascii="Arial" w:hAnsi="Arial" w:cs="Arial"/>
                <w:sz w:val="20"/>
                <w:szCs w:val="20"/>
              </w:rPr>
              <w:t>190</w:t>
            </w:r>
            <w:r w:rsidR="00CA25FB">
              <w:rPr>
                <w:rFonts w:ascii="Arial" w:hAnsi="Arial" w:cs="Arial"/>
                <w:sz w:val="20"/>
                <w:szCs w:val="20"/>
              </w:rPr>
              <w:t xml:space="preserve">. </w:t>
            </w:r>
            <w:r w:rsidR="00CA25FB" w:rsidRPr="00191B6F">
              <w:rPr>
                <w:rFonts w:ascii="Arial" w:hAnsi="Arial" w:cs="Arial"/>
                <w:sz w:val="20"/>
                <w:szCs w:val="20"/>
              </w:rPr>
              <w:t xml:space="preserve">sor, </w:t>
            </w:r>
            <w:r w:rsidR="00FD042A">
              <w:rPr>
                <w:rFonts w:ascii="Arial" w:hAnsi="Arial" w:cs="Arial"/>
                <w:sz w:val="20"/>
                <w:szCs w:val="20"/>
              </w:rPr>
              <w:t>0</w:t>
            </w:r>
            <w:r w:rsidR="00CA25FB" w:rsidRPr="00191B6F">
              <w:rPr>
                <w:rFonts w:ascii="Arial" w:hAnsi="Arial" w:cs="Arial"/>
                <w:sz w:val="20"/>
                <w:szCs w:val="20"/>
              </w:rPr>
              <w:t>010</w:t>
            </w:r>
            <w:r w:rsidR="00CA25FB">
              <w:rPr>
                <w:rFonts w:ascii="Arial" w:hAnsi="Arial" w:cs="Arial"/>
                <w:sz w:val="20"/>
                <w:szCs w:val="20"/>
              </w:rPr>
              <w:t>.+</w:t>
            </w:r>
            <w:r w:rsidR="00FD042A">
              <w:rPr>
                <w:rFonts w:ascii="Arial" w:hAnsi="Arial" w:cs="Arial"/>
                <w:sz w:val="20"/>
                <w:szCs w:val="20"/>
              </w:rPr>
              <w:t>0</w:t>
            </w:r>
            <w:r w:rsidR="00CA25FB" w:rsidRPr="00191B6F">
              <w:rPr>
                <w:rFonts w:ascii="Arial" w:hAnsi="Arial" w:cs="Arial"/>
                <w:sz w:val="20"/>
                <w:szCs w:val="20"/>
              </w:rPr>
              <w:t>020</w:t>
            </w:r>
            <w:r w:rsidR="00CA25FB">
              <w:rPr>
                <w:rFonts w:ascii="Arial" w:hAnsi="Arial" w:cs="Arial"/>
                <w:sz w:val="20"/>
                <w:szCs w:val="20"/>
              </w:rPr>
              <w:t>.+</w:t>
            </w:r>
            <w:r w:rsidR="00FD042A">
              <w:rPr>
                <w:rFonts w:ascii="Arial" w:hAnsi="Arial" w:cs="Arial"/>
                <w:sz w:val="20"/>
                <w:szCs w:val="20"/>
              </w:rPr>
              <w:t>0</w:t>
            </w:r>
            <w:r w:rsidR="00CA25FB" w:rsidRPr="00191B6F">
              <w:rPr>
                <w:rFonts w:ascii="Arial" w:hAnsi="Arial" w:cs="Arial"/>
                <w:sz w:val="20"/>
                <w:szCs w:val="20"/>
              </w:rPr>
              <w:t>030</w:t>
            </w:r>
            <w:r w:rsidR="00CA25FB">
              <w:rPr>
                <w:rFonts w:ascii="Arial" w:hAnsi="Arial" w:cs="Arial"/>
                <w:sz w:val="20"/>
                <w:szCs w:val="20"/>
              </w:rPr>
              <w:t xml:space="preserve">. </w:t>
            </w:r>
            <w:r w:rsidR="00CA25FB" w:rsidRPr="00191B6F">
              <w:rPr>
                <w:rFonts w:ascii="Arial" w:hAnsi="Arial" w:cs="Arial"/>
                <w:sz w:val="20"/>
                <w:szCs w:val="20"/>
              </w:rPr>
              <w:t>oszlop</w:t>
            </w:r>
          </w:p>
        </w:tc>
      </w:tr>
      <w:tr w:rsidR="00ED2630" w:rsidRPr="00191B6F" w14:paraId="4A6ACD82" w14:textId="77777777" w:rsidTr="00D23413">
        <w:tc>
          <w:tcPr>
            <w:tcW w:w="959" w:type="dxa"/>
            <w:shd w:val="clear" w:color="auto" w:fill="auto"/>
            <w:tcMar>
              <w:top w:w="85" w:type="dxa"/>
            </w:tcMar>
            <w:vAlign w:val="center"/>
          </w:tcPr>
          <w:p w14:paraId="0FCCDD6C" w14:textId="28FB0F62" w:rsidR="00ED2630" w:rsidRPr="00191B6F" w:rsidRDefault="00ED2630" w:rsidP="00CA25FB">
            <w:pPr>
              <w:contextualSpacing/>
              <w:rPr>
                <w:rFonts w:ascii="Arial" w:hAnsi="Arial" w:cs="Arial"/>
                <w:sz w:val="20"/>
                <w:szCs w:val="20"/>
              </w:rPr>
            </w:pPr>
            <w:r>
              <w:rPr>
                <w:rFonts w:ascii="Arial" w:hAnsi="Arial" w:cs="Arial"/>
                <w:sz w:val="20"/>
                <w:szCs w:val="20"/>
              </w:rPr>
              <w:t>131</w:t>
            </w:r>
          </w:p>
        </w:tc>
        <w:tc>
          <w:tcPr>
            <w:tcW w:w="1276" w:type="dxa"/>
            <w:vAlign w:val="center"/>
          </w:tcPr>
          <w:p w14:paraId="4157402A" w14:textId="7E42B9D5" w:rsidR="00ED2630" w:rsidRPr="009D7409" w:rsidRDefault="00ED2630" w:rsidP="00CA25FB">
            <w:pPr>
              <w:contextualSpacing/>
              <w:rPr>
                <w:rFonts w:ascii="Arial" w:hAnsi="Arial" w:cs="Arial"/>
                <w:sz w:val="20"/>
                <w:szCs w:val="20"/>
              </w:rPr>
            </w:pPr>
            <w:r w:rsidRPr="009D7409">
              <w:rPr>
                <w:rFonts w:ascii="Arial" w:hAnsi="Arial" w:cs="Arial"/>
                <w:sz w:val="20"/>
                <w:szCs w:val="20"/>
              </w:rPr>
              <w:t>1.4.1</w:t>
            </w:r>
            <w:r w:rsidR="009D7409" w:rsidRPr="009D7409">
              <w:rPr>
                <w:rFonts w:ascii="Arial" w:hAnsi="Arial" w:cs="Arial"/>
                <w:sz w:val="20"/>
                <w:szCs w:val="20"/>
              </w:rPr>
              <w:t>.</w:t>
            </w:r>
          </w:p>
        </w:tc>
        <w:tc>
          <w:tcPr>
            <w:tcW w:w="3147" w:type="dxa"/>
            <w:shd w:val="clear" w:color="auto" w:fill="auto"/>
            <w:tcMar>
              <w:top w:w="85" w:type="dxa"/>
            </w:tcMar>
            <w:vAlign w:val="center"/>
          </w:tcPr>
          <w:p w14:paraId="4B45737C" w14:textId="3CB6AC00" w:rsidR="00ED2630" w:rsidRPr="000F7284" w:rsidRDefault="00B02133" w:rsidP="00637D24">
            <w:pPr>
              <w:contextualSpacing/>
              <w:jc w:val="both"/>
              <w:rPr>
                <w:rFonts w:ascii="Arial" w:hAnsi="Arial" w:cs="Arial"/>
                <w:sz w:val="20"/>
                <w:szCs w:val="20"/>
              </w:rPr>
            </w:pPr>
            <w:r w:rsidRPr="000F7284">
              <w:rPr>
                <w:rFonts w:ascii="Arial" w:hAnsi="Arial" w:cs="Arial"/>
                <w:sz w:val="20"/>
                <w:szCs w:val="20"/>
              </w:rPr>
              <w:t>Hazai tevékenységek</w:t>
            </w:r>
          </w:p>
        </w:tc>
        <w:tc>
          <w:tcPr>
            <w:tcW w:w="4082" w:type="dxa"/>
            <w:shd w:val="clear" w:color="auto" w:fill="auto"/>
            <w:tcMar>
              <w:top w:w="85" w:type="dxa"/>
            </w:tcMar>
            <w:vAlign w:val="center"/>
          </w:tcPr>
          <w:p w14:paraId="426C28EC" w14:textId="3C3BAAE4" w:rsidR="00ED2630" w:rsidRPr="009D7409" w:rsidRDefault="00D2613E" w:rsidP="00CA25FB">
            <w:pPr>
              <w:contextualSpacing/>
              <w:rPr>
                <w:rFonts w:ascii="Arial" w:hAnsi="Arial" w:cs="Arial"/>
                <w:sz w:val="20"/>
                <w:szCs w:val="20"/>
              </w:rPr>
            </w:pPr>
            <w:r>
              <w:rPr>
                <w:rFonts w:ascii="Arial" w:hAnsi="Arial" w:cs="Arial"/>
                <w:sz w:val="20"/>
                <w:szCs w:val="20"/>
              </w:rPr>
              <w:t>(EU) 2021/451</w:t>
            </w:r>
            <w:r w:rsidR="006521E4" w:rsidRPr="00C41946">
              <w:rPr>
                <w:rFonts w:ascii="Arial" w:hAnsi="Arial" w:cs="Arial"/>
                <w:sz w:val="20"/>
                <w:szCs w:val="20"/>
              </w:rPr>
              <w:t xml:space="preserve"> bizottsági végrehajtási rendelet</w:t>
            </w:r>
            <w:r w:rsidR="006521E4" w:rsidRPr="009D7409">
              <w:rPr>
                <w:rFonts w:ascii="Arial" w:hAnsi="Arial" w:cs="Arial"/>
                <w:sz w:val="20"/>
                <w:szCs w:val="20"/>
              </w:rPr>
              <w:t xml:space="preserve"> V. melléklet 2. rész 270. pont.</w:t>
            </w:r>
          </w:p>
        </w:tc>
      </w:tr>
      <w:tr w:rsidR="00CA25FB" w:rsidRPr="00191B6F" w14:paraId="2EE5327E" w14:textId="77777777" w:rsidTr="00637D24">
        <w:trPr>
          <w:trHeight w:val="847"/>
        </w:trPr>
        <w:tc>
          <w:tcPr>
            <w:tcW w:w="959" w:type="dxa"/>
            <w:shd w:val="clear" w:color="auto" w:fill="auto"/>
            <w:tcMar>
              <w:top w:w="85" w:type="dxa"/>
            </w:tcMar>
            <w:vAlign w:val="center"/>
          </w:tcPr>
          <w:p w14:paraId="2ED30205" w14:textId="77777777" w:rsidR="00CA25FB" w:rsidRPr="00191B6F" w:rsidRDefault="00CA25FB" w:rsidP="00CA25FB">
            <w:pPr>
              <w:contextualSpacing/>
              <w:rPr>
                <w:rFonts w:ascii="Arial" w:hAnsi="Arial" w:cs="Arial"/>
                <w:sz w:val="20"/>
                <w:szCs w:val="20"/>
              </w:rPr>
            </w:pPr>
            <w:r w:rsidRPr="00191B6F">
              <w:rPr>
                <w:rFonts w:ascii="Arial" w:hAnsi="Arial" w:cs="Arial"/>
                <w:sz w:val="20"/>
                <w:szCs w:val="20"/>
              </w:rPr>
              <w:t>140</w:t>
            </w:r>
          </w:p>
        </w:tc>
        <w:tc>
          <w:tcPr>
            <w:tcW w:w="1276" w:type="dxa"/>
            <w:vAlign w:val="center"/>
          </w:tcPr>
          <w:p w14:paraId="70015560" w14:textId="36DBD896" w:rsidR="00CA25FB" w:rsidRDefault="00CA25FB" w:rsidP="00CA25FB">
            <w:pPr>
              <w:contextualSpacing/>
              <w:rPr>
                <w:rFonts w:ascii="Arial" w:hAnsi="Arial" w:cs="Arial"/>
                <w:sz w:val="20"/>
                <w:szCs w:val="20"/>
              </w:rPr>
            </w:pPr>
            <w:r w:rsidRPr="00222297">
              <w:rPr>
                <w:rFonts w:ascii="Arial" w:hAnsi="Arial" w:cs="Arial"/>
                <w:sz w:val="20"/>
                <w:szCs w:val="20"/>
              </w:rPr>
              <w:t>1.</w:t>
            </w:r>
            <w:r w:rsidR="00B02133">
              <w:rPr>
                <w:rFonts w:ascii="Arial" w:hAnsi="Arial" w:cs="Arial"/>
                <w:sz w:val="20"/>
                <w:szCs w:val="20"/>
              </w:rPr>
              <w:t>5.</w:t>
            </w:r>
          </w:p>
        </w:tc>
        <w:tc>
          <w:tcPr>
            <w:tcW w:w="3147" w:type="dxa"/>
            <w:shd w:val="clear" w:color="auto" w:fill="auto"/>
            <w:tcMar>
              <w:top w:w="85" w:type="dxa"/>
            </w:tcMar>
            <w:vAlign w:val="center"/>
          </w:tcPr>
          <w:p w14:paraId="7E3542BA" w14:textId="3B2BB0B4" w:rsidR="00CA25FB" w:rsidRPr="00191B6F" w:rsidRDefault="00CA25FB" w:rsidP="00637D24">
            <w:pPr>
              <w:contextualSpacing/>
              <w:jc w:val="both"/>
              <w:rPr>
                <w:rFonts w:ascii="Arial" w:hAnsi="Arial" w:cs="Arial"/>
                <w:sz w:val="20"/>
                <w:szCs w:val="20"/>
              </w:rPr>
            </w:pPr>
            <w:r w:rsidRPr="00191B6F">
              <w:rPr>
                <w:rFonts w:ascii="Arial" w:hAnsi="Arial" w:cs="Arial"/>
                <w:sz w:val="20"/>
                <w:szCs w:val="20"/>
              </w:rPr>
              <w:t>Egyéb pénzügyi vállalatoktól</w:t>
            </w:r>
            <w:r w:rsidR="00B857E2">
              <w:rPr>
                <w:rFonts w:ascii="Arial" w:hAnsi="Arial" w:cs="Arial"/>
                <w:sz w:val="20"/>
                <w:szCs w:val="20"/>
              </w:rPr>
              <w:t xml:space="preserve"> kapott betétek (</w:t>
            </w:r>
            <w:r w:rsidR="00B857E2" w:rsidRPr="00B857E2">
              <w:rPr>
                <w:rFonts w:ascii="Arial" w:hAnsi="Arial" w:cs="Arial"/>
                <w:sz w:val="20"/>
                <w:szCs w:val="20"/>
              </w:rPr>
              <w:t>visszavásárlási megállapodások kivételével)</w:t>
            </w:r>
          </w:p>
        </w:tc>
        <w:tc>
          <w:tcPr>
            <w:tcW w:w="4082" w:type="dxa"/>
            <w:shd w:val="clear" w:color="auto" w:fill="auto"/>
            <w:tcMar>
              <w:top w:w="85" w:type="dxa"/>
            </w:tcMar>
            <w:vAlign w:val="center"/>
          </w:tcPr>
          <w:p w14:paraId="5C4DC757" w14:textId="05329F6A" w:rsidR="00CA25FB" w:rsidRPr="00191B6F" w:rsidRDefault="00D2613E" w:rsidP="002A6C9E">
            <w:pPr>
              <w:contextualSpacing/>
              <w:jc w:val="both"/>
              <w:rPr>
                <w:rFonts w:ascii="Arial" w:hAnsi="Arial" w:cs="Arial"/>
                <w:sz w:val="20"/>
                <w:szCs w:val="20"/>
              </w:rPr>
            </w:pPr>
            <w:r>
              <w:rPr>
                <w:rFonts w:ascii="Arial" w:hAnsi="Arial" w:cs="Arial"/>
                <w:sz w:val="20"/>
                <w:szCs w:val="20"/>
              </w:rPr>
              <w:t>(EU) 2021/451</w:t>
            </w:r>
            <w:r w:rsidRPr="00ED3820">
              <w:rPr>
                <w:rFonts w:ascii="Arial" w:hAnsi="Arial" w:cs="Arial"/>
                <w:sz w:val="20"/>
                <w:szCs w:val="20"/>
              </w:rPr>
              <w:t xml:space="preserve"> </w:t>
            </w:r>
            <w:r w:rsidR="00CA25FB">
              <w:rPr>
                <w:rFonts w:ascii="Arial" w:hAnsi="Arial" w:cs="Arial"/>
                <w:sz w:val="20"/>
                <w:szCs w:val="20"/>
              </w:rPr>
              <w:t xml:space="preserve">bizottsági végrehajtási rendelet </w:t>
            </w:r>
            <w:r w:rsidR="00B857E2">
              <w:rPr>
                <w:rFonts w:ascii="Arial" w:hAnsi="Arial" w:cs="Arial"/>
                <w:sz w:val="20"/>
                <w:szCs w:val="20"/>
              </w:rPr>
              <w:t>III</w:t>
            </w:r>
            <w:r w:rsidR="00CA25FB">
              <w:rPr>
                <w:rFonts w:ascii="Arial" w:hAnsi="Arial" w:cs="Arial"/>
                <w:sz w:val="20"/>
                <w:szCs w:val="20"/>
              </w:rPr>
              <w:t xml:space="preserve">. melléklet F </w:t>
            </w:r>
            <w:r w:rsidR="00CA25FB" w:rsidRPr="00191B6F">
              <w:rPr>
                <w:rFonts w:ascii="Arial" w:hAnsi="Arial" w:cs="Arial"/>
                <w:sz w:val="20"/>
                <w:szCs w:val="20"/>
              </w:rPr>
              <w:t xml:space="preserve">08.01 tábla, </w:t>
            </w:r>
            <w:r w:rsidR="00FD042A">
              <w:rPr>
                <w:rFonts w:ascii="Arial" w:hAnsi="Arial" w:cs="Arial"/>
                <w:sz w:val="20"/>
                <w:szCs w:val="20"/>
              </w:rPr>
              <w:t>0</w:t>
            </w:r>
            <w:r w:rsidR="00CA25FB" w:rsidRPr="00191B6F">
              <w:rPr>
                <w:rFonts w:ascii="Arial" w:hAnsi="Arial" w:cs="Arial"/>
                <w:sz w:val="20"/>
                <w:szCs w:val="20"/>
              </w:rPr>
              <w:t>220</w:t>
            </w:r>
            <w:r w:rsidR="00CA25FB">
              <w:rPr>
                <w:rFonts w:ascii="Arial" w:hAnsi="Arial" w:cs="Arial"/>
                <w:sz w:val="20"/>
                <w:szCs w:val="20"/>
              </w:rPr>
              <w:t>.+</w:t>
            </w:r>
            <w:r w:rsidR="00FD042A">
              <w:rPr>
                <w:rFonts w:ascii="Arial" w:hAnsi="Arial" w:cs="Arial"/>
                <w:sz w:val="20"/>
                <w:szCs w:val="20"/>
              </w:rPr>
              <w:t>0</w:t>
            </w:r>
            <w:r w:rsidR="00CA25FB" w:rsidRPr="00191B6F">
              <w:rPr>
                <w:rFonts w:ascii="Arial" w:hAnsi="Arial" w:cs="Arial"/>
                <w:sz w:val="20"/>
                <w:szCs w:val="20"/>
              </w:rPr>
              <w:t>230</w:t>
            </w:r>
            <w:r w:rsidR="00CA25FB">
              <w:rPr>
                <w:rFonts w:ascii="Arial" w:hAnsi="Arial" w:cs="Arial"/>
                <w:sz w:val="20"/>
                <w:szCs w:val="20"/>
              </w:rPr>
              <w:t>.+</w:t>
            </w:r>
            <w:r w:rsidR="00FD042A">
              <w:rPr>
                <w:rFonts w:ascii="Arial" w:hAnsi="Arial" w:cs="Arial"/>
                <w:sz w:val="20"/>
                <w:szCs w:val="20"/>
              </w:rPr>
              <w:t>0</w:t>
            </w:r>
            <w:r w:rsidR="00CA25FB" w:rsidRPr="00191B6F">
              <w:rPr>
                <w:rFonts w:ascii="Arial" w:hAnsi="Arial" w:cs="Arial"/>
                <w:sz w:val="20"/>
                <w:szCs w:val="20"/>
              </w:rPr>
              <w:t>240</w:t>
            </w:r>
            <w:r w:rsidR="00CA25FB">
              <w:rPr>
                <w:rFonts w:ascii="Arial" w:hAnsi="Arial" w:cs="Arial"/>
                <w:sz w:val="20"/>
                <w:szCs w:val="20"/>
              </w:rPr>
              <w:t>.</w:t>
            </w:r>
            <w:r w:rsidR="00CA25FB" w:rsidRPr="00191B6F">
              <w:rPr>
                <w:rFonts w:ascii="Arial" w:hAnsi="Arial" w:cs="Arial"/>
                <w:sz w:val="20"/>
                <w:szCs w:val="20"/>
              </w:rPr>
              <w:t xml:space="preserve"> sor, </w:t>
            </w:r>
            <w:r w:rsidR="00FD042A">
              <w:rPr>
                <w:rFonts w:ascii="Arial" w:hAnsi="Arial" w:cs="Arial"/>
                <w:sz w:val="20"/>
                <w:szCs w:val="20"/>
              </w:rPr>
              <w:t>0</w:t>
            </w:r>
            <w:r w:rsidR="00CA25FB" w:rsidRPr="00191B6F">
              <w:rPr>
                <w:rFonts w:ascii="Arial" w:hAnsi="Arial" w:cs="Arial"/>
                <w:sz w:val="20"/>
                <w:szCs w:val="20"/>
              </w:rPr>
              <w:t>010</w:t>
            </w:r>
            <w:r w:rsidR="00CA25FB">
              <w:rPr>
                <w:rFonts w:ascii="Arial" w:hAnsi="Arial" w:cs="Arial"/>
                <w:sz w:val="20"/>
                <w:szCs w:val="20"/>
              </w:rPr>
              <w:t>.+</w:t>
            </w:r>
            <w:r w:rsidR="00FD042A">
              <w:rPr>
                <w:rFonts w:ascii="Arial" w:hAnsi="Arial" w:cs="Arial"/>
                <w:sz w:val="20"/>
                <w:szCs w:val="20"/>
              </w:rPr>
              <w:t>0</w:t>
            </w:r>
            <w:r w:rsidR="00CA25FB" w:rsidRPr="00191B6F">
              <w:rPr>
                <w:rFonts w:ascii="Arial" w:hAnsi="Arial" w:cs="Arial"/>
                <w:sz w:val="20"/>
                <w:szCs w:val="20"/>
              </w:rPr>
              <w:t>020</w:t>
            </w:r>
            <w:r w:rsidR="00CA25FB">
              <w:rPr>
                <w:rFonts w:ascii="Arial" w:hAnsi="Arial" w:cs="Arial"/>
                <w:sz w:val="20"/>
                <w:szCs w:val="20"/>
              </w:rPr>
              <w:t>.+</w:t>
            </w:r>
            <w:r w:rsidR="00FD042A">
              <w:rPr>
                <w:rFonts w:ascii="Arial" w:hAnsi="Arial" w:cs="Arial"/>
                <w:sz w:val="20"/>
                <w:szCs w:val="20"/>
              </w:rPr>
              <w:t>0</w:t>
            </w:r>
            <w:r w:rsidR="00CA25FB" w:rsidRPr="00191B6F">
              <w:rPr>
                <w:rFonts w:ascii="Arial" w:hAnsi="Arial" w:cs="Arial"/>
                <w:sz w:val="20"/>
                <w:szCs w:val="20"/>
              </w:rPr>
              <w:t>030</w:t>
            </w:r>
            <w:r w:rsidR="00CA25FB">
              <w:rPr>
                <w:rFonts w:ascii="Arial" w:hAnsi="Arial" w:cs="Arial"/>
                <w:sz w:val="20"/>
                <w:szCs w:val="20"/>
              </w:rPr>
              <w:t xml:space="preserve">. </w:t>
            </w:r>
            <w:r w:rsidR="00CA25FB" w:rsidRPr="00191B6F">
              <w:rPr>
                <w:rFonts w:ascii="Arial" w:hAnsi="Arial" w:cs="Arial"/>
                <w:sz w:val="20"/>
                <w:szCs w:val="20"/>
              </w:rPr>
              <w:t>oszlop</w:t>
            </w:r>
          </w:p>
        </w:tc>
      </w:tr>
      <w:tr w:rsidR="00B857E2" w:rsidRPr="00191B6F" w14:paraId="4756C05B" w14:textId="77777777" w:rsidTr="00D23413">
        <w:tc>
          <w:tcPr>
            <w:tcW w:w="959" w:type="dxa"/>
            <w:shd w:val="clear" w:color="auto" w:fill="auto"/>
            <w:tcMar>
              <w:top w:w="85" w:type="dxa"/>
            </w:tcMar>
            <w:vAlign w:val="center"/>
          </w:tcPr>
          <w:p w14:paraId="70255C18" w14:textId="6F078494" w:rsidR="00B857E2" w:rsidRPr="00191B6F" w:rsidRDefault="00B857E2" w:rsidP="00CA25FB">
            <w:pPr>
              <w:contextualSpacing/>
              <w:rPr>
                <w:rFonts w:ascii="Arial" w:hAnsi="Arial" w:cs="Arial"/>
                <w:sz w:val="20"/>
                <w:szCs w:val="20"/>
              </w:rPr>
            </w:pPr>
            <w:r>
              <w:rPr>
                <w:rFonts w:ascii="Arial" w:hAnsi="Arial" w:cs="Arial"/>
                <w:sz w:val="20"/>
                <w:szCs w:val="20"/>
              </w:rPr>
              <w:t>141</w:t>
            </w:r>
          </w:p>
        </w:tc>
        <w:tc>
          <w:tcPr>
            <w:tcW w:w="1276" w:type="dxa"/>
            <w:vAlign w:val="center"/>
          </w:tcPr>
          <w:p w14:paraId="644B037F" w14:textId="78766BC0" w:rsidR="00B857E2" w:rsidRPr="00222297" w:rsidRDefault="00B02133" w:rsidP="00CA25FB">
            <w:pPr>
              <w:contextualSpacing/>
              <w:rPr>
                <w:rFonts w:ascii="Arial" w:hAnsi="Arial" w:cs="Arial"/>
                <w:sz w:val="20"/>
                <w:szCs w:val="20"/>
              </w:rPr>
            </w:pPr>
            <w:r>
              <w:rPr>
                <w:rFonts w:ascii="Arial" w:hAnsi="Arial" w:cs="Arial"/>
                <w:sz w:val="20"/>
                <w:szCs w:val="20"/>
              </w:rPr>
              <w:t>1.5.1.</w:t>
            </w:r>
          </w:p>
        </w:tc>
        <w:tc>
          <w:tcPr>
            <w:tcW w:w="3147" w:type="dxa"/>
            <w:shd w:val="clear" w:color="auto" w:fill="auto"/>
            <w:tcMar>
              <w:top w:w="85" w:type="dxa"/>
            </w:tcMar>
            <w:vAlign w:val="center"/>
          </w:tcPr>
          <w:p w14:paraId="2CD205DD" w14:textId="2626E1F1" w:rsidR="00B857E2" w:rsidRPr="000F7284" w:rsidRDefault="00B02133" w:rsidP="00637D24">
            <w:pPr>
              <w:contextualSpacing/>
              <w:jc w:val="both"/>
              <w:rPr>
                <w:rFonts w:ascii="Arial" w:hAnsi="Arial" w:cs="Arial"/>
                <w:sz w:val="20"/>
                <w:szCs w:val="20"/>
              </w:rPr>
            </w:pPr>
            <w:r w:rsidRPr="000F7284">
              <w:rPr>
                <w:rFonts w:ascii="Arial" w:hAnsi="Arial" w:cs="Arial"/>
                <w:sz w:val="20"/>
                <w:szCs w:val="20"/>
              </w:rPr>
              <w:t>Hazai tevékenységek</w:t>
            </w:r>
          </w:p>
        </w:tc>
        <w:tc>
          <w:tcPr>
            <w:tcW w:w="4082" w:type="dxa"/>
            <w:shd w:val="clear" w:color="auto" w:fill="auto"/>
            <w:tcMar>
              <w:top w:w="85" w:type="dxa"/>
            </w:tcMar>
            <w:vAlign w:val="center"/>
          </w:tcPr>
          <w:p w14:paraId="1037CA40" w14:textId="48F1206A" w:rsidR="00B857E2" w:rsidRPr="000F7284" w:rsidRDefault="00D2613E" w:rsidP="00CA25FB">
            <w:pPr>
              <w:contextualSpacing/>
              <w:jc w:val="both"/>
              <w:rPr>
                <w:rFonts w:ascii="Arial" w:hAnsi="Arial" w:cs="Arial"/>
                <w:sz w:val="20"/>
                <w:szCs w:val="20"/>
              </w:rPr>
            </w:pPr>
            <w:r>
              <w:rPr>
                <w:rFonts w:ascii="Arial" w:hAnsi="Arial" w:cs="Arial"/>
                <w:sz w:val="20"/>
                <w:szCs w:val="20"/>
              </w:rPr>
              <w:t>(EU) 2021/451</w:t>
            </w:r>
            <w:r w:rsidR="00617806" w:rsidRPr="000F7284">
              <w:rPr>
                <w:rFonts w:ascii="Arial" w:hAnsi="Arial" w:cs="Arial"/>
                <w:sz w:val="20"/>
                <w:szCs w:val="20"/>
              </w:rPr>
              <w:t xml:space="preserve"> bizottsági végrehajtási rendelet V. melléklet 2. rész </w:t>
            </w:r>
            <w:r w:rsidR="00617806" w:rsidRPr="00C41946">
              <w:rPr>
                <w:rFonts w:ascii="Arial" w:hAnsi="Arial" w:cs="Arial"/>
                <w:sz w:val="20"/>
                <w:szCs w:val="20"/>
              </w:rPr>
              <w:t>270. pont</w:t>
            </w:r>
            <w:r w:rsidR="00617806" w:rsidRPr="000F7284">
              <w:rPr>
                <w:rFonts w:ascii="Arial" w:hAnsi="Arial" w:cs="Arial"/>
                <w:sz w:val="20"/>
                <w:szCs w:val="20"/>
              </w:rPr>
              <w:t>.</w:t>
            </w:r>
          </w:p>
        </w:tc>
      </w:tr>
      <w:tr w:rsidR="00617806" w:rsidRPr="00191B6F" w14:paraId="178E880E" w14:textId="77777777" w:rsidTr="00D23413">
        <w:tc>
          <w:tcPr>
            <w:tcW w:w="959" w:type="dxa"/>
            <w:shd w:val="clear" w:color="auto" w:fill="auto"/>
            <w:tcMar>
              <w:top w:w="85" w:type="dxa"/>
            </w:tcMar>
            <w:vAlign w:val="center"/>
          </w:tcPr>
          <w:p w14:paraId="746B2B85" w14:textId="26A8353D" w:rsidR="00617806" w:rsidRPr="00191B6F" w:rsidRDefault="00617806" w:rsidP="00617806">
            <w:pPr>
              <w:contextualSpacing/>
              <w:rPr>
                <w:rFonts w:ascii="Arial" w:hAnsi="Arial" w:cs="Arial"/>
                <w:sz w:val="20"/>
                <w:szCs w:val="20"/>
              </w:rPr>
            </w:pPr>
            <w:r>
              <w:rPr>
                <w:rFonts w:ascii="Arial" w:hAnsi="Arial" w:cs="Arial"/>
                <w:sz w:val="20"/>
                <w:szCs w:val="20"/>
              </w:rPr>
              <w:t>145</w:t>
            </w:r>
          </w:p>
        </w:tc>
        <w:tc>
          <w:tcPr>
            <w:tcW w:w="1276" w:type="dxa"/>
            <w:vAlign w:val="center"/>
          </w:tcPr>
          <w:p w14:paraId="4E71808E" w14:textId="4FBA0372" w:rsidR="00617806" w:rsidRPr="00222297" w:rsidRDefault="00617806" w:rsidP="00617806">
            <w:pPr>
              <w:contextualSpacing/>
              <w:rPr>
                <w:rFonts w:ascii="Arial" w:hAnsi="Arial" w:cs="Arial"/>
                <w:sz w:val="20"/>
                <w:szCs w:val="20"/>
              </w:rPr>
            </w:pPr>
            <w:r>
              <w:rPr>
                <w:rFonts w:ascii="Arial" w:hAnsi="Arial" w:cs="Arial"/>
                <w:sz w:val="20"/>
                <w:szCs w:val="20"/>
              </w:rPr>
              <w:t>1.6.</w:t>
            </w:r>
          </w:p>
        </w:tc>
        <w:tc>
          <w:tcPr>
            <w:tcW w:w="3147" w:type="dxa"/>
            <w:shd w:val="clear" w:color="auto" w:fill="auto"/>
            <w:tcMar>
              <w:top w:w="85" w:type="dxa"/>
            </w:tcMar>
            <w:vAlign w:val="center"/>
          </w:tcPr>
          <w:p w14:paraId="735DAF82" w14:textId="183E94F7" w:rsidR="00617806" w:rsidRPr="00191B6F" w:rsidRDefault="00617806" w:rsidP="00637D24">
            <w:pPr>
              <w:contextualSpacing/>
              <w:rPr>
                <w:rFonts w:ascii="Arial" w:hAnsi="Arial" w:cs="Arial"/>
                <w:sz w:val="20"/>
                <w:szCs w:val="20"/>
              </w:rPr>
            </w:pPr>
            <w:r w:rsidRPr="00617806">
              <w:rPr>
                <w:rFonts w:ascii="Arial" w:hAnsi="Arial" w:cs="Arial"/>
                <w:sz w:val="20"/>
                <w:szCs w:val="20"/>
              </w:rPr>
              <w:t>Központi bankoktól kapott betétek (visszavásárlási megállapodások kivételével)</w:t>
            </w:r>
          </w:p>
        </w:tc>
        <w:tc>
          <w:tcPr>
            <w:tcW w:w="4082" w:type="dxa"/>
            <w:shd w:val="clear" w:color="auto" w:fill="auto"/>
            <w:tcMar>
              <w:top w:w="85" w:type="dxa"/>
            </w:tcMar>
            <w:vAlign w:val="center"/>
          </w:tcPr>
          <w:p w14:paraId="6C230BF4" w14:textId="646CF399" w:rsidR="00617806" w:rsidRPr="00191B6F" w:rsidRDefault="00D2613E" w:rsidP="00617806">
            <w:pPr>
              <w:contextualSpacing/>
              <w:jc w:val="both"/>
              <w:rPr>
                <w:rFonts w:ascii="Arial" w:hAnsi="Arial" w:cs="Arial"/>
                <w:sz w:val="20"/>
                <w:szCs w:val="20"/>
              </w:rPr>
            </w:pPr>
            <w:r>
              <w:rPr>
                <w:rFonts w:ascii="Arial" w:hAnsi="Arial" w:cs="Arial"/>
                <w:sz w:val="20"/>
                <w:szCs w:val="20"/>
              </w:rPr>
              <w:t>(EU) 2021/451</w:t>
            </w:r>
            <w:r w:rsidR="00A3144C">
              <w:rPr>
                <w:rFonts w:ascii="Arial" w:hAnsi="Arial" w:cs="Arial"/>
                <w:sz w:val="20"/>
                <w:szCs w:val="20"/>
              </w:rPr>
              <w:t xml:space="preserve"> bizottsági végrehajtási rendelet III. melléklet F </w:t>
            </w:r>
            <w:r w:rsidR="00A3144C" w:rsidRPr="00191B6F">
              <w:rPr>
                <w:rFonts w:ascii="Arial" w:hAnsi="Arial" w:cs="Arial"/>
                <w:sz w:val="20"/>
                <w:szCs w:val="20"/>
              </w:rPr>
              <w:t xml:space="preserve">08.01 tábla, </w:t>
            </w:r>
            <w:r w:rsidR="00FD042A">
              <w:rPr>
                <w:rFonts w:ascii="Arial" w:hAnsi="Arial" w:cs="Arial"/>
                <w:sz w:val="20"/>
                <w:szCs w:val="20"/>
              </w:rPr>
              <w:t>0</w:t>
            </w:r>
            <w:r w:rsidR="00A3144C">
              <w:rPr>
                <w:rFonts w:ascii="Arial" w:hAnsi="Arial" w:cs="Arial"/>
                <w:sz w:val="20"/>
                <w:szCs w:val="20"/>
              </w:rPr>
              <w:t>070.+</w:t>
            </w:r>
            <w:r w:rsidR="00FD042A">
              <w:rPr>
                <w:rFonts w:ascii="Arial" w:hAnsi="Arial" w:cs="Arial"/>
                <w:sz w:val="20"/>
                <w:szCs w:val="20"/>
              </w:rPr>
              <w:t>0</w:t>
            </w:r>
            <w:r w:rsidR="00A3144C">
              <w:rPr>
                <w:rFonts w:ascii="Arial" w:hAnsi="Arial" w:cs="Arial"/>
                <w:sz w:val="20"/>
                <w:szCs w:val="20"/>
              </w:rPr>
              <w:t>080.+</w:t>
            </w:r>
            <w:r w:rsidR="00FD042A">
              <w:rPr>
                <w:rFonts w:ascii="Arial" w:hAnsi="Arial" w:cs="Arial"/>
                <w:sz w:val="20"/>
                <w:szCs w:val="20"/>
              </w:rPr>
              <w:t>0</w:t>
            </w:r>
            <w:r w:rsidR="00A3144C">
              <w:rPr>
                <w:rFonts w:ascii="Arial" w:hAnsi="Arial" w:cs="Arial"/>
                <w:sz w:val="20"/>
                <w:szCs w:val="20"/>
              </w:rPr>
              <w:t>090.+</w:t>
            </w:r>
            <w:r w:rsidR="00FD042A">
              <w:rPr>
                <w:rFonts w:ascii="Arial" w:hAnsi="Arial" w:cs="Arial"/>
                <w:sz w:val="20"/>
                <w:szCs w:val="20"/>
              </w:rPr>
              <w:t>0</w:t>
            </w:r>
            <w:r w:rsidR="00A3144C">
              <w:rPr>
                <w:rFonts w:ascii="Arial" w:hAnsi="Arial" w:cs="Arial"/>
                <w:sz w:val="20"/>
                <w:szCs w:val="20"/>
              </w:rPr>
              <w:t xml:space="preserve">100. </w:t>
            </w:r>
            <w:r w:rsidR="00A3144C" w:rsidRPr="00191B6F">
              <w:rPr>
                <w:rFonts w:ascii="Arial" w:hAnsi="Arial" w:cs="Arial"/>
                <w:sz w:val="20"/>
                <w:szCs w:val="20"/>
              </w:rPr>
              <w:t xml:space="preserve">sor, </w:t>
            </w:r>
            <w:r w:rsidR="00FD042A">
              <w:rPr>
                <w:rFonts w:ascii="Arial" w:hAnsi="Arial" w:cs="Arial"/>
                <w:sz w:val="20"/>
                <w:szCs w:val="20"/>
              </w:rPr>
              <w:t>0</w:t>
            </w:r>
            <w:r w:rsidR="00A3144C" w:rsidRPr="00191B6F">
              <w:rPr>
                <w:rFonts w:ascii="Arial" w:hAnsi="Arial" w:cs="Arial"/>
                <w:sz w:val="20"/>
                <w:szCs w:val="20"/>
              </w:rPr>
              <w:t>010</w:t>
            </w:r>
            <w:r w:rsidR="00A3144C">
              <w:rPr>
                <w:rFonts w:ascii="Arial" w:hAnsi="Arial" w:cs="Arial"/>
                <w:sz w:val="20"/>
                <w:szCs w:val="20"/>
              </w:rPr>
              <w:t>.+</w:t>
            </w:r>
            <w:r w:rsidR="00FD042A">
              <w:rPr>
                <w:rFonts w:ascii="Arial" w:hAnsi="Arial" w:cs="Arial"/>
                <w:sz w:val="20"/>
                <w:szCs w:val="20"/>
              </w:rPr>
              <w:t>0</w:t>
            </w:r>
            <w:r w:rsidR="00A3144C" w:rsidRPr="00191B6F">
              <w:rPr>
                <w:rFonts w:ascii="Arial" w:hAnsi="Arial" w:cs="Arial"/>
                <w:sz w:val="20"/>
                <w:szCs w:val="20"/>
              </w:rPr>
              <w:t>020</w:t>
            </w:r>
            <w:r w:rsidR="00A3144C">
              <w:rPr>
                <w:rFonts w:ascii="Arial" w:hAnsi="Arial" w:cs="Arial"/>
                <w:sz w:val="20"/>
                <w:szCs w:val="20"/>
              </w:rPr>
              <w:t>.+</w:t>
            </w:r>
            <w:r w:rsidR="00FD042A">
              <w:rPr>
                <w:rFonts w:ascii="Arial" w:hAnsi="Arial" w:cs="Arial"/>
                <w:sz w:val="20"/>
                <w:szCs w:val="20"/>
              </w:rPr>
              <w:t>0</w:t>
            </w:r>
            <w:r w:rsidR="00A3144C" w:rsidRPr="00191B6F">
              <w:rPr>
                <w:rFonts w:ascii="Arial" w:hAnsi="Arial" w:cs="Arial"/>
                <w:sz w:val="20"/>
                <w:szCs w:val="20"/>
              </w:rPr>
              <w:t>030</w:t>
            </w:r>
            <w:r w:rsidR="00A3144C">
              <w:rPr>
                <w:rFonts w:ascii="Arial" w:hAnsi="Arial" w:cs="Arial"/>
                <w:sz w:val="20"/>
                <w:szCs w:val="20"/>
              </w:rPr>
              <w:t xml:space="preserve">. </w:t>
            </w:r>
            <w:r w:rsidR="00A3144C" w:rsidRPr="00191B6F">
              <w:rPr>
                <w:rFonts w:ascii="Arial" w:hAnsi="Arial" w:cs="Arial"/>
                <w:sz w:val="20"/>
                <w:szCs w:val="20"/>
              </w:rPr>
              <w:t>oszlop</w:t>
            </w:r>
          </w:p>
        </w:tc>
      </w:tr>
      <w:tr w:rsidR="00617806" w:rsidRPr="00191B6F" w14:paraId="21F0872A" w14:textId="77777777" w:rsidTr="00D23413">
        <w:tc>
          <w:tcPr>
            <w:tcW w:w="959" w:type="dxa"/>
            <w:shd w:val="clear" w:color="auto" w:fill="auto"/>
            <w:tcMar>
              <w:top w:w="85" w:type="dxa"/>
            </w:tcMar>
            <w:vAlign w:val="center"/>
          </w:tcPr>
          <w:p w14:paraId="665B1851" w14:textId="3C2FCF84" w:rsidR="00617806" w:rsidRPr="00191B6F" w:rsidRDefault="00617806" w:rsidP="00617806">
            <w:pPr>
              <w:contextualSpacing/>
              <w:rPr>
                <w:rFonts w:ascii="Arial" w:hAnsi="Arial" w:cs="Arial"/>
                <w:sz w:val="20"/>
                <w:szCs w:val="20"/>
              </w:rPr>
            </w:pPr>
            <w:r>
              <w:rPr>
                <w:rFonts w:ascii="Arial" w:hAnsi="Arial" w:cs="Arial"/>
                <w:sz w:val="20"/>
                <w:szCs w:val="20"/>
              </w:rPr>
              <w:t>147</w:t>
            </w:r>
          </w:p>
        </w:tc>
        <w:tc>
          <w:tcPr>
            <w:tcW w:w="1276" w:type="dxa"/>
            <w:vAlign w:val="center"/>
          </w:tcPr>
          <w:p w14:paraId="4FC0BBA2" w14:textId="20A40755" w:rsidR="00617806" w:rsidRPr="00222297" w:rsidRDefault="00617806" w:rsidP="00617806">
            <w:pPr>
              <w:contextualSpacing/>
              <w:rPr>
                <w:rFonts w:ascii="Arial" w:hAnsi="Arial" w:cs="Arial"/>
                <w:sz w:val="20"/>
                <w:szCs w:val="20"/>
              </w:rPr>
            </w:pPr>
            <w:r>
              <w:rPr>
                <w:rFonts w:ascii="Arial" w:hAnsi="Arial" w:cs="Arial"/>
                <w:sz w:val="20"/>
                <w:szCs w:val="20"/>
              </w:rPr>
              <w:t>1.7.</w:t>
            </w:r>
          </w:p>
        </w:tc>
        <w:tc>
          <w:tcPr>
            <w:tcW w:w="3147" w:type="dxa"/>
            <w:shd w:val="clear" w:color="auto" w:fill="auto"/>
            <w:tcMar>
              <w:top w:w="85" w:type="dxa"/>
            </w:tcMar>
            <w:vAlign w:val="center"/>
          </w:tcPr>
          <w:p w14:paraId="2FEB1862" w14:textId="44A7FBDC" w:rsidR="00617806" w:rsidRPr="00191B6F" w:rsidRDefault="00617806" w:rsidP="00637D24">
            <w:pPr>
              <w:contextualSpacing/>
              <w:rPr>
                <w:rFonts w:ascii="Arial" w:hAnsi="Arial" w:cs="Arial"/>
                <w:sz w:val="20"/>
                <w:szCs w:val="20"/>
              </w:rPr>
            </w:pPr>
            <w:r w:rsidRPr="00617806">
              <w:rPr>
                <w:rFonts w:ascii="Arial" w:hAnsi="Arial" w:cs="Arial"/>
                <w:sz w:val="20"/>
                <w:szCs w:val="20"/>
              </w:rPr>
              <w:t>Államháztartásoktól kapott betétek (visszavásárlási megállapodások kivételével)</w:t>
            </w:r>
          </w:p>
        </w:tc>
        <w:tc>
          <w:tcPr>
            <w:tcW w:w="4082" w:type="dxa"/>
            <w:shd w:val="clear" w:color="auto" w:fill="auto"/>
            <w:tcMar>
              <w:top w:w="85" w:type="dxa"/>
            </w:tcMar>
            <w:vAlign w:val="center"/>
          </w:tcPr>
          <w:p w14:paraId="69133BF8" w14:textId="7D87EA47" w:rsidR="00617806" w:rsidRPr="00191B6F" w:rsidRDefault="002A5321" w:rsidP="00617806">
            <w:pPr>
              <w:contextualSpacing/>
              <w:jc w:val="both"/>
              <w:rPr>
                <w:rFonts w:ascii="Arial" w:hAnsi="Arial" w:cs="Arial"/>
                <w:sz w:val="20"/>
                <w:szCs w:val="20"/>
              </w:rPr>
            </w:pPr>
            <w:r>
              <w:rPr>
                <w:rFonts w:ascii="Arial" w:hAnsi="Arial" w:cs="Arial"/>
                <w:sz w:val="20"/>
                <w:szCs w:val="20"/>
              </w:rPr>
              <w:t>(EU) 2021/451</w:t>
            </w:r>
            <w:r w:rsidR="00A3144C">
              <w:rPr>
                <w:rFonts w:ascii="Arial" w:hAnsi="Arial" w:cs="Arial"/>
                <w:sz w:val="20"/>
                <w:szCs w:val="20"/>
              </w:rPr>
              <w:t xml:space="preserve"> bizottsági végrehajtási rendelet III. melléklet F </w:t>
            </w:r>
            <w:r w:rsidR="00A3144C" w:rsidRPr="00191B6F">
              <w:rPr>
                <w:rFonts w:ascii="Arial" w:hAnsi="Arial" w:cs="Arial"/>
                <w:sz w:val="20"/>
                <w:szCs w:val="20"/>
              </w:rPr>
              <w:t xml:space="preserve">08.01 tábla, </w:t>
            </w:r>
            <w:r w:rsidR="00FD042A">
              <w:rPr>
                <w:rFonts w:ascii="Arial" w:hAnsi="Arial" w:cs="Arial"/>
                <w:sz w:val="20"/>
                <w:szCs w:val="20"/>
              </w:rPr>
              <w:t>0</w:t>
            </w:r>
            <w:r w:rsidR="007475F9">
              <w:rPr>
                <w:rFonts w:ascii="Arial" w:hAnsi="Arial" w:cs="Arial"/>
                <w:sz w:val="20"/>
                <w:szCs w:val="20"/>
              </w:rPr>
              <w:t>120</w:t>
            </w:r>
            <w:r w:rsidR="00A3144C">
              <w:rPr>
                <w:rFonts w:ascii="Arial" w:hAnsi="Arial" w:cs="Arial"/>
                <w:sz w:val="20"/>
                <w:szCs w:val="20"/>
              </w:rPr>
              <w:t>.+</w:t>
            </w:r>
            <w:r w:rsidR="00FD042A">
              <w:rPr>
                <w:rFonts w:ascii="Arial" w:hAnsi="Arial" w:cs="Arial"/>
                <w:sz w:val="20"/>
                <w:szCs w:val="20"/>
              </w:rPr>
              <w:t>0</w:t>
            </w:r>
            <w:r w:rsidR="007475F9">
              <w:rPr>
                <w:rFonts w:ascii="Arial" w:hAnsi="Arial" w:cs="Arial"/>
                <w:sz w:val="20"/>
                <w:szCs w:val="20"/>
              </w:rPr>
              <w:t>130</w:t>
            </w:r>
            <w:r w:rsidR="00A3144C">
              <w:rPr>
                <w:rFonts w:ascii="Arial" w:hAnsi="Arial" w:cs="Arial"/>
                <w:sz w:val="20"/>
                <w:szCs w:val="20"/>
              </w:rPr>
              <w:t>.+</w:t>
            </w:r>
            <w:r w:rsidR="007475F9">
              <w:rPr>
                <w:rFonts w:ascii="Arial" w:hAnsi="Arial" w:cs="Arial"/>
                <w:sz w:val="20"/>
                <w:szCs w:val="20"/>
              </w:rPr>
              <w:t>1</w:t>
            </w:r>
            <w:r w:rsidR="00FD042A">
              <w:rPr>
                <w:rFonts w:ascii="Arial" w:hAnsi="Arial" w:cs="Arial"/>
                <w:sz w:val="20"/>
                <w:szCs w:val="20"/>
              </w:rPr>
              <w:t>0</w:t>
            </w:r>
            <w:r w:rsidR="007475F9">
              <w:rPr>
                <w:rFonts w:ascii="Arial" w:hAnsi="Arial" w:cs="Arial"/>
                <w:sz w:val="20"/>
                <w:szCs w:val="20"/>
              </w:rPr>
              <w:t>40</w:t>
            </w:r>
            <w:r w:rsidR="00A3144C">
              <w:rPr>
                <w:rFonts w:ascii="Arial" w:hAnsi="Arial" w:cs="Arial"/>
                <w:sz w:val="20"/>
                <w:szCs w:val="20"/>
              </w:rPr>
              <w:t>.+</w:t>
            </w:r>
            <w:r w:rsidR="00FD042A">
              <w:rPr>
                <w:rFonts w:ascii="Arial" w:hAnsi="Arial" w:cs="Arial"/>
                <w:sz w:val="20"/>
                <w:szCs w:val="20"/>
              </w:rPr>
              <w:t>0</w:t>
            </w:r>
            <w:r w:rsidR="00A3144C">
              <w:rPr>
                <w:rFonts w:ascii="Arial" w:hAnsi="Arial" w:cs="Arial"/>
                <w:sz w:val="20"/>
                <w:szCs w:val="20"/>
              </w:rPr>
              <w:t>1</w:t>
            </w:r>
            <w:r w:rsidR="007475F9">
              <w:rPr>
                <w:rFonts w:ascii="Arial" w:hAnsi="Arial" w:cs="Arial"/>
                <w:sz w:val="20"/>
                <w:szCs w:val="20"/>
              </w:rPr>
              <w:t>5</w:t>
            </w:r>
            <w:r w:rsidR="00A3144C">
              <w:rPr>
                <w:rFonts w:ascii="Arial" w:hAnsi="Arial" w:cs="Arial"/>
                <w:sz w:val="20"/>
                <w:szCs w:val="20"/>
              </w:rPr>
              <w:t xml:space="preserve">0. </w:t>
            </w:r>
            <w:r w:rsidR="00A3144C" w:rsidRPr="00191B6F">
              <w:rPr>
                <w:rFonts w:ascii="Arial" w:hAnsi="Arial" w:cs="Arial"/>
                <w:sz w:val="20"/>
                <w:szCs w:val="20"/>
              </w:rPr>
              <w:t xml:space="preserve">sor, </w:t>
            </w:r>
            <w:r w:rsidR="00FD042A">
              <w:rPr>
                <w:rFonts w:ascii="Arial" w:hAnsi="Arial" w:cs="Arial"/>
                <w:sz w:val="20"/>
                <w:szCs w:val="20"/>
              </w:rPr>
              <w:t>0</w:t>
            </w:r>
            <w:r w:rsidR="00A3144C" w:rsidRPr="00191B6F">
              <w:rPr>
                <w:rFonts w:ascii="Arial" w:hAnsi="Arial" w:cs="Arial"/>
                <w:sz w:val="20"/>
                <w:szCs w:val="20"/>
              </w:rPr>
              <w:t>010</w:t>
            </w:r>
            <w:r w:rsidR="00A3144C">
              <w:rPr>
                <w:rFonts w:ascii="Arial" w:hAnsi="Arial" w:cs="Arial"/>
                <w:sz w:val="20"/>
                <w:szCs w:val="20"/>
              </w:rPr>
              <w:t>.+</w:t>
            </w:r>
            <w:r w:rsidR="00FD042A">
              <w:rPr>
                <w:rFonts w:ascii="Arial" w:hAnsi="Arial" w:cs="Arial"/>
                <w:sz w:val="20"/>
                <w:szCs w:val="20"/>
              </w:rPr>
              <w:t>0</w:t>
            </w:r>
            <w:r w:rsidR="00A3144C" w:rsidRPr="00191B6F">
              <w:rPr>
                <w:rFonts w:ascii="Arial" w:hAnsi="Arial" w:cs="Arial"/>
                <w:sz w:val="20"/>
                <w:szCs w:val="20"/>
              </w:rPr>
              <w:t>020</w:t>
            </w:r>
            <w:r w:rsidR="00A3144C">
              <w:rPr>
                <w:rFonts w:ascii="Arial" w:hAnsi="Arial" w:cs="Arial"/>
                <w:sz w:val="20"/>
                <w:szCs w:val="20"/>
              </w:rPr>
              <w:t>.+</w:t>
            </w:r>
            <w:r w:rsidR="00FD042A">
              <w:rPr>
                <w:rFonts w:ascii="Arial" w:hAnsi="Arial" w:cs="Arial"/>
                <w:sz w:val="20"/>
                <w:szCs w:val="20"/>
              </w:rPr>
              <w:t>0</w:t>
            </w:r>
            <w:r w:rsidR="00A3144C" w:rsidRPr="00191B6F">
              <w:rPr>
                <w:rFonts w:ascii="Arial" w:hAnsi="Arial" w:cs="Arial"/>
                <w:sz w:val="20"/>
                <w:szCs w:val="20"/>
              </w:rPr>
              <w:t>030</w:t>
            </w:r>
            <w:r w:rsidR="00A3144C">
              <w:rPr>
                <w:rFonts w:ascii="Arial" w:hAnsi="Arial" w:cs="Arial"/>
                <w:sz w:val="20"/>
                <w:szCs w:val="20"/>
              </w:rPr>
              <w:t xml:space="preserve">. </w:t>
            </w:r>
            <w:r w:rsidR="00A3144C" w:rsidRPr="00191B6F">
              <w:rPr>
                <w:rFonts w:ascii="Arial" w:hAnsi="Arial" w:cs="Arial"/>
                <w:sz w:val="20"/>
                <w:szCs w:val="20"/>
              </w:rPr>
              <w:t>oszlop</w:t>
            </w:r>
          </w:p>
        </w:tc>
      </w:tr>
      <w:tr w:rsidR="00617806" w:rsidRPr="00191B6F" w14:paraId="5EB7893B" w14:textId="77777777" w:rsidTr="00637D24">
        <w:trPr>
          <w:trHeight w:val="2346"/>
        </w:trPr>
        <w:tc>
          <w:tcPr>
            <w:tcW w:w="959" w:type="dxa"/>
            <w:shd w:val="clear" w:color="auto" w:fill="auto"/>
            <w:tcMar>
              <w:top w:w="85" w:type="dxa"/>
            </w:tcMar>
            <w:vAlign w:val="center"/>
          </w:tcPr>
          <w:p w14:paraId="29CED61B" w14:textId="77777777" w:rsidR="00617806" w:rsidRPr="00191B6F" w:rsidRDefault="00617806" w:rsidP="00617806">
            <w:pPr>
              <w:contextualSpacing/>
              <w:rPr>
                <w:rFonts w:ascii="Arial" w:hAnsi="Arial" w:cs="Arial"/>
                <w:sz w:val="20"/>
                <w:szCs w:val="20"/>
              </w:rPr>
            </w:pPr>
            <w:r w:rsidRPr="00191B6F">
              <w:rPr>
                <w:rFonts w:ascii="Arial" w:hAnsi="Arial" w:cs="Arial"/>
                <w:sz w:val="20"/>
                <w:szCs w:val="20"/>
              </w:rPr>
              <w:t>150</w:t>
            </w:r>
          </w:p>
        </w:tc>
        <w:tc>
          <w:tcPr>
            <w:tcW w:w="1276" w:type="dxa"/>
            <w:vAlign w:val="center"/>
          </w:tcPr>
          <w:p w14:paraId="7EF88479" w14:textId="300CD05F" w:rsidR="00617806" w:rsidRPr="00191B6F" w:rsidRDefault="00617806" w:rsidP="00617806">
            <w:pPr>
              <w:contextualSpacing/>
              <w:rPr>
                <w:rFonts w:ascii="Arial" w:hAnsi="Arial" w:cs="Arial"/>
                <w:sz w:val="20"/>
                <w:szCs w:val="20"/>
              </w:rPr>
            </w:pPr>
            <w:r w:rsidRPr="00222297">
              <w:rPr>
                <w:rFonts w:ascii="Arial" w:hAnsi="Arial" w:cs="Arial"/>
                <w:sz w:val="20"/>
                <w:szCs w:val="20"/>
              </w:rPr>
              <w:t>1.</w:t>
            </w:r>
            <w:r w:rsidR="00511D9B">
              <w:rPr>
                <w:rFonts w:ascii="Arial" w:hAnsi="Arial" w:cs="Arial"/>
                <w:sz w:val="20"/>
                <w:szCs w:val="20"/>
              </w:rPr>
              <w:t>8.</w:t>
            </w:r>
          </w:p>
        </w:tc>
        <w:tc>
          <w:tcPr>
            <w:tcW w:w="3147" w:type="dxa"/>
            <w:shd w:val="clear" w:color="auto" w:fill="auto"/>
            <w:tcMar>
              <w:top w:w="85" w:type="dxa"/>
            </w:tcMar>
            <w:vAlign w:val="center"/>
          </w:tcPr>
          <w:p w14:paraId="1EFF1EC7" w14:textId="71832F85" w:rsidR="00617806" w:rsidRPr="00191B6F" w:rsidRDefault="00617806" w:rsidP="00637D24">
            <w:pPr>
              <w:contextualSpacing/>
              <w:rPr>
                <w:rFonts w:ascii="Arial" w:hAnsi="Arial" w:cs="Arial"/>
                <w:sz w:val="20"/>
                <w:szCs w:val="20"/>
              </w:rPr>
            </w:pPr>
            <w:r w:rsidRPr="00191B6F">
              <w:rPr>
                <w:rFonts w:ascii="Arial" w:hAnsi="Arial" w:cs="Arial"/>
                <w:sz w:val="20"/>
                <w:szCs w:val="20"/>
              </w:rPr>
              <w:t>Kibocsátott</w:t>
            </w:r>
            <w:r>
              <w:rPr>
                <w:rFonts w:ascii="Arial" w:hAnsi="Arial" w:cs="Arial"/>
                <w:sz w:val="20"/>
                <w:szCs w:val="20"/>
              </w:rPr>
              <w:t xml:space="preserve">, rövid lejáratú (eredeti </w:t>
            </w:r>
            <w:r w:rsidR="00511D9B">
              <w:rPr>
                <w:rFonts w:ascii="Arial" w:hAnsi="Arial" w:cs="Arial"/>
                <w:sz w:val="20"/>
                <w:szCs w:val="20"/>
              </w:rPr>
              <w:t xml:space="preserve">lejárat </w:t>
            </w:r>
            <w:r>
              <w:rPr>
                <w:rFonts w:ascii="Arial" w:hAnsi="Arial" w:cs="Arial"/>
                <w:sz w:val="20"/>
                <w:szCs w:val="20"/>
              </w:rPr>
              <w:t xml:space="preserve">&lt;1 év) </w:t>
            </w:r>
            <w:r w:rsidRPr="00191B6F">
              <w:rPr>
                <w:rFonts w:ascii="Arial" w:hAnsi="Arial" w:cs="Arial"/>
                <w:sz w:val="20"/>
                <w:szCs w:val="20"/>
              </w:rPr>
              <w:t>hitelviszonyt megtestesítő értékpapírok</w:t>
            </w:r>
          </w:p>
        </w:tc>
        <w:tc>
          <w:tcPr>
            <w:tcW w:w="4082" w:type="dxa"/>
            <w:shd w:val="clear" w:color="auto" w:fill="auto"/>
            <w:tcMar>
              <w:top w:w="85" w:type="dxa"/>
            </w:tcMar>
            <w:vAlign w:val="center"/>
          </w:tcPr>
          <w:p w14:paraId="767D5F9B" w14:textId="6901EDF3" w:rsidR="008F4673" w:rsidRPr="000F7284" w:rsidRDefault="0088513E" w:rsidP="008F4673">
            <w:pPr>
              <w:pStyle w:val="Default"/>
              <w:spacing w:before="143" w:after="143"/>
              <w:jc w:val="both"/>
              <w:rPr>
                <w:rFonts w:ascii="Arial" w:hAnsi="Arial" w:cs="Arial"/>
                <w:sz w:val="20"/>
                <w:szCs w:val="20"/>
              </w:rPr>
            </w:pPr>
            <w:r>
              <w:rPr>
                <w:rFonts w:ascii="Arial" w:hAnsi="Arial" w:cs="Arial"/>
                <w:sz w:val="20"/>
                <w:szCs w:val="20"/>
              </w:rPr>
              <w:t>K</w:t>
            </w:r>
            <w:r w:rsidR="008F4673" w:rsidRPr="000F7284">
              <w:rPr>
                <w:rFonts w:ascii="Arial" w:hAnsi="Arial" w:cs="Arial"/>
                <w:sz w:val="20"/>
                <w:szCs w:val="20"/>
              </w:rPr>
              <w:t>ibocsátott hitelviszonyt megtestesítő értékpapíro</w:t>
            </w:r>
            <w:r>
              <w:rPr>
                <w:rFonts w:ascii="Arial" w:hAnsi="Arial" w:cs="Arial"/>
                <w:sz w:val="20"/>
                <w:szCs w:val="20"/>
              </w:rPr>
              <w:t xml:space="preserve">k </w:t>
            </w:r>
            <w:r w:rsidR="008F4673" w:rsidRPr="000F7284">
              <w:rPr>
                <w:rFonts w:ascii="Arial" w:hAnsi="Arial" w:cs="Arial"/>
                <w:sz w:val="20"/>
                <w:szCs w:val="20"/>
              </w:rPr>
              <w:t>a</w:t>
            </w:r>
            <w:r w:rsidR="009C456E">
              <w:rPr>
                <w:rFonts w:ascii="Arial" w:hAnsi="Arial" w:cs="Arial"/>
                <w:sz w:val="20"/>
                <w:szCs w:val="20"/>
              </w:rPr>
              <w:t>z</w:t>
            </w:r>
            <w:r w:rsidR="008F4673" w:rsidRPr="000F7284">
              <w:rPr>
                <w:rFonts w:ascii="Arial" w:hAnsi="Arial" w:cs="Arial"/>
                <w:sz w:val="20"/>
                <w:szCs w:val="20"/>
              </w:rPr>
              <w:t xml:space="preserve"> </w:t>
            </w:r>
            <w:r w:rsidR="002A5321">
              <w:rPr>
                <w:rFonts w:ascii="Arial" w:hAnsi="Arial" w:cs="Arial"/>
                <w:sz w:val="20"/>
                <w:szCs w:val="20"/>
              </w:rPr>
              <w:t>(EU) 2021/451</w:t>
            </w:r>
            <w:r w:rsidR="002A5321" w:rsidRPr="00ED3820">
              <w:rPr>
                <w:rFonts w:ascii="Arial" w:hAnsi="Arial" w:cs="Arial"/>
                <w:sz w:val="20"/>
                <w:szCs w:val="20"/>
              </w:rPr>
              <w:t xml:space="preserve"> </w:t>
            </w:r>
            <w:r w:rsidR="00653415" w:rsidRPr="00653415">
              <w:rPr>
                <w:rFonts w:ascii="Arial" w:hAnsi="Arial" w:cs="Arial"/>
                <w:sz w:val="20"/>
                <w:szCs w:val="20"/>
              </w:rPr>
              <w:t xml:space="preserve">bizottsági végrehajtási </w:t>
            </w:r>
            <w:r w:rsidR="008F4673" w:rsidRPr="00653415">
              <w:rPr>
                <w:rFonts w:ascii="Arial" w:hAnsi="Arial" w:cs="Arial"/>
                <w:sz w:val="20"/>
                <w:szCs w:val="20"/>
              </w:rPr>
              <w:t xml:space="preserve">rendelet V. melléklet 1. rész 37. </w:t>
            </w:r>
            <w:r w:rsidR="00653415" w:rsidRPr="00653415">
              <w:rPr>
                <w:rFonts w:ascii="Arial" w:hAnsi="Arial" w:cs="Arial"/>
                <w:sz w:val="20"/>
                <w:szCs w:val="20"/>
              </w:rPr>
              <w:t>pontjában</w:t>
            </w:r>
            <w:r w:rsidR="008F4673" w:rsidRPr="00653415">
              <w:rPr>
                <w:rFonts w:ascii="Arial" w:hAnsi="Arial" w:cs="Arial"/>
                <w:sz w:val="20"/>
                <w:szCs w:val="20"/>
              </w:rPr>
              <w:t xml:space="preserve"> és 2. rész 98. </w:t>
            </w:r>
            <w:r w:rsidR="00653415" w:rsidRPr="00653415">
              <w:rPr>
                <w:rFonts w:ascii="Arial" w:hAnsi="Arial" w:cs="Arial"/>
                <w:sz w:val="20"/>
                <w:szCs w:val="20"/>
              </w:rPr>
              <w:t>pontjában</w:t>
            </w:r>
            <w:r w:rsidR="008F4673" w:rsidRPr="00653415">
              <w:rPr>
                <w:rFonts w:ascii="Arial" w:hAnsi="Arial" w:cs="Arial"/>
                <w:sz w:val="20"/>
                <w:szCs w:val="20"/>
              </w:rPr>
              <w:t xml:space="preserve"> meghatározottak szerint.</w:t>
            </w:r>
          </w:p>
          <w:p w14:paraId="3C4C85D8" w14:textId="50C2F1EF" w:rsidR="00617806" w:rsidRPr="00191B6F" w:rsidRDefault="008F4673" w:rsidP="000F7284">
            <w:pPr>
              <w:pStyle w:val="Default"/>
              <w:spacing w:before="143" w:after="143"/>
              <w:jc w:val="both"/>
              <w:rPr>
                <w:rFonts w:ascii="Arial" w:hAnsi="Arial" w:cs="Arial"/>
                <w:sz w:val="20"/>
                <w:szCs w:val="20"/>
              </w:rPr>
            </w:pPr>
            <w:r w:rsidRPr="000F7284">
              <w:rPr>
                <w:rFonts w:ascii="Arial" w:hAnsi="Arial" w:cs="Arial"/>
                <w:sz w:val="20"/>
                <w:szCs w:val="20"/>
              </w:rPr>
              <w:t>Az 1 évnél rövidebb eredeti lejárattal kibocsátott hitelviszonyt megtestesítő értékpapírok</w:t>
            </w:r>
            <w:r w:rsidR="00762946">
              <w:rPr>
                <w:rFonts w:ascii="Arial" w:hAnsi="Arial" w:cs="Arial"/>
                <w:sz w:val="20"/>
                <w:szCs w:val="20"/>
              </w:rPr>
              <w:t>,</w:t>
            </w:r>
            <w:r w:rsidRPr="000F7284">
              <w:rPr>
                <w:rFonts w:ascii="Arial" w:hAnsi="Arial" w:cs="Arial"/>
                <w:sz w:val="20"/>
                <w:szCs w:val="20"/>
              </w:rPr>
              <w:t xml:space="preserve"> valamint azok, </w:t>
            </w:r>
            <w:r w:rsidR="00617806" w:rsidRPr="000F7284">
              <w:rPr>
                <w:rFonts w:ascii="Arial" w:hAnsi="Arial" w:cs="Arial"/>
                <w:sz w:val="20"/>
                <w:szCs w:val="20"/>
              </w:rPr>
              <w:t>melyeknek a kibocsátáskor a legkorábbi visszaváltási időpontja nem érte el a 12 hónapot.</w:t>
            </w:r>
          </w:p>
        </w:tc>
      </w:tr>
      <w:tr w:rsidR="00617806" w:rsidRPr="00191B6F" w14:paraId="7067D462" w14:textId="77777777" w:rsidTr="00637D24">
        <w:trPr>
          <w:trHeight w:val="1379"/>
        </w:trPr>
        <w:tc>
          <w:tcPr>
            <w:tcW w:w="959" w:type="dxa"/>
            <w:shd w:val="clear" w:color="auto" w:fill="auto"/>
            <w:tcMar>
              <w:top w:w="85" w:type="dxa"/>
            </w:tcMar>
            <w:vAlign w:val="center"/>
          </w:tcPr>
          <w:p w14:paraId="42188D80" w14:textId="77777777" w:rsidR="00617806" w:rsidRPr="00191B6F" w:rsidRDefault="00617806" w:rsidP="00617806">
            <w:pPr>
              <w:contextualSpacing/>
              <w:rPr>
                <w:rFonts w:ascii="Arial" w:hAnsi="Arial" w:cs="Arial"/>
                <w:sz w:val="20"/>
                <w:szCs w:val="20"/>
              </w:rPr>
            </w:pPr>
            <w:r w:rsidRPr="00191B6F">
              <w:rPr>
                <w:rFonts w:ascii="Arial" w:hAnsi="Arial" w:cs="Arial"/>
                <w:sz w:val="20"/>
                <w:szCs w:val="20"/>
              </w:rPr>
              <w:t>160</w:t>
            </w:r>
          </w:p>
        </w:tc>
        <w:tc>
          <w:tcPr>
            <w:tcW w:w="1276" w:type="dxa"/>
            <w:vAlign w:val="center"/>
          </w:tcPr>
          <w:p w14:paraId="42F94503" w14:textId="7C8FB482" w:rsidR="00617806" w:rsidRPr="00191B6F" w:rsidRDefault="00617806" w:rsidP="00617806">
            <w:pPr>
              <w:contextualSpacing/>
              <w:rPr>
                <w:rFonts w:ascii="Arial" w:hAnsi="Arial" w:cs="Arial"/>
                <w:sz w:val="20"/>
                <w:szCs w:val="20"/>
              </w:rPr>
            </w:pPr>
            <w:r w:rsidRPr="00222297">
              <w:rPr>
                <w:rFonts w:ascii="Arial" w:hAnsi="Arial" w:cs="Arial"/>
                <w:sz w:val="20"/>
                <w:szCs w:val="20"/>
              </w:rPr>
              <w:t>1.</w:t>
            </w:r>
            <w:r w:rsidR="00511D9B">
              <w:rPr>
                <w:rFonts w:ascii="Arial" w:hAnsi="Arial" w:cs="Arial"/>
                <w:sz w:val="20"/>
                <w:szCs w:val="20"/>
              </w:rPr>
              <w:t>8.</w:t>
            </w:r>
            <w:r w:rsidRPr="00222297">
              <w:rPr>
                <w:rFonts w:ascii="Arial" w:hAnsi="Arial" w:cs="Arial"/>
                <w:sz w:val="20"/>
                <w:szCs w:val="20"/>
              </w:rPr>
              <w:t>1.</w:t>
            </w:r>
          </w:p>
        </w:tc>
        <w:tc>
          <w:tcPr>
            <w:tcW w:w="3147" w:type="dxa"/>
            <w:shd w:val="clear" w:color="auto" w:fill="auto"/>
            <w:tcMar>
              <w:top w:w="85" w:type="dxa"/>
            </w:tcMar>
            <w:vAlign w:val="center"/>
          </w:tcPr>
          <w:p w14:paraId="6FD951F0" w14:textId="5917C5E9" w:rsidR="00617806" w:rsidRPr="000F7284" w:rsidRDefault="00511D9B" w:rsidP="00617806">
            <w:pPr>
              <w:contextualSpacing/>
              <w:rPr>
                <w:rFonts w:ascii="Arial" w:hAnsi="Arial" w:cs="Arial"/>
                <w:sz w:val="20"/>
                <w:szCs w:val="20"/>
              </w:rPr>
            </w:pPr>
            <w:bookmarkStart w:id="4" w:name="_Hlk45268757"/>
            <w:r w:rsidRPr="000F7284">
              <w:rPr>
                <w:rFonts w:ascii="Arial" w:hAnsi="Arial" w:cs="Arial"/>
                <w:sz w:val="20"/>
                <w:szCs w:val="20"/>
              </w:rPr>
              <w:t>Kibocsátott rövid lejáratú, fedezetlen, hitelviszonyt megtestesítő értékpapírok</w:t>
            </w:r>
            <w:bookmarkEnd w:id="4"/>
          </w:p>
        </w:tc>
        <w:tc>
          <w:tcPr>
            <w:tcW w:w="4082" w:type="dxa"/>
            <w:shd w:val="clear" w:color="auto" w:fill="auto"/>
            <w:tcMar>
              <w:top w:w="85" w:type="dxa"/>
            </w:tcMar>
            <w:vAlign w:val="center"/>
          </w:tcPr>
          <w:p w14:paraId="7F2959D2" w14:textId="5A55775F" w:rsidR="00617806" w:rsidRPr="000F7284" w:rsidRDefault="00762946" w:rsidP="000F7284">
            <w:pPr>
              <w:pStyle w:val="Default"/>
              <w:spacing w:before="143" w:after="143"/>
              <w:jc w:val="both"/>
              <w:rPr>
                <w:rFonts w:ascii="Arial" w:hAnsi="Arial" w:cs="Arial"/>
                <w:sz w:val="20"/>
                <w:szCs w:val="20"/>
              </w:rPr>
            </w:pPr>
            <w:r>
              <w:rPr>
                <w:rFonts w:ascii="Arial" w:hAnsi="Arial" w:cs="Arial"/>
                <w:sz w:val="20"/>
                <w:szCs w:val="20"/>
              </w:rPr>
              <w:t>R</w:t>
            </w:r>
            <w:r w:rsidR="005E293C" w:rsidRPr="000F7284">
              <w:rPr>
                <w:rFonts w:ascii="Arial" w:hAnsi="Arial" w:cs="Arial"/>
                <w:sz w:val="20"/>
                <w:szCs w:val="20"/>
              </w:rPr>
              <w:t>övid lejáratú hitelviszonyt megtestesítő értékpapírok</w:t>
            </w:r>
            <w:r>
              <w:rPr>
                <w:rFonts w:ascii="Arial" w:hAnsi="Arial" w:cs="Arial"/>
                <w:sz w:val="20"/>
                <w:szCs w:val="20"/>
              </w:rPr>
              <w:t xml:space="preserve"> </w:t>
            </w:r>
            <w:r w:rsidR="005E293C" w:rsidRPr="000F7284">
              <w:rPr>
                <w:rFonts w:ascii="Arial" w:hAnsi="Arial" w:cs="Arial"/>
                <w:sz w:val="20"/>
                <w:szCs w:val="20"/>
              </w:rPr>
              <w:t>(a 150.</w:t>
            </w:r>
            <w:r w:rsidR="00653415">
              <w:rPr>
                <w:rFonts w:ascii="Arial" w:hAnsi="Arial" w:cs="Arial"/>
                <w:sz w:val="20"/>
                <w:szCs w:val="20"/>
              </w:rPr>
              <w:t xml:space="preserve"> </w:t>
            </w:r>
            <w:r w:rsidR="005E293C" w:rsidRPr="000F7284">
              <w:rPr>
                <w:rFonts w:ascii="Arial" w:hAnsi="Arial" w:cs="Arial"/>
                <w:sz w:val="20"/>
                <w:szCs w:val="20"/>
              </w:rPr>
              <w:t xml:space="preserve">sorban meghatározottak szerint), amelyek nincsenek </w:t>
            </w:r>
            <w:r w:rsidR="005E293C" w:rsidRPr="00B308EB">
              <w:rPr>
                <w:rFonts w:ascii="Arial" w:hAnsi="Arial" w:cs="Arial"/>
                <w:sz w:val="20"/>
                <w:szCs w:val="20"/>
              </w:rPr>
              <w:t>biztosítékkal fedezve vagy biztosítva.</w:t>
            </w:r>
          </w:p>
        </w:tc>
      </w:tr>
      <w:tr w:rsidR="00617806" w:rsidRPr="00191B6F" w14:paraId="60AEED9E" w14:textId="77777777" w:rsidTr="00637D24">
        <w:trPr>
          <w:trHeight w:val="1245"/>
        </w:trPr>
        <w:tc>
          <w:tcPr>
            <w:tcW w:w="959" w:type="dxa"/>
            <w:shd w:val="clear" w:color="auto" w:fill="auto"/>
            <w:tcMar>
              <w:top w:w="85" w:type="dxa"/>
            </w:tcMar>
            <w:vAlign w:val="center"/>
          </w:tcPr>
          <w:p w14:paraId="5A4BA09F" w14:textId="77777777" w:rsidR="00617806" w:rsidRPr="00191B6F" w:rsidRDefault="00617806" w:rsidP="00617806">
            <w:pPr>
              <w:contextualSpacing/>
              <w:rPr>
                <w:rFonts w:ascii="Arial" w:hAnsi="Arial" w:cs="Arial"/>
                <w:sz w:val="20"/>
                <w:szCs w:val="20"/>
              </w:rPr>
            </w:pPr>
            <w:r w:rsidRPr="00191B6F">
              <w:rPr>
                <w:rFonts w:ascii="Arial" w:hAnsi="Arial" w:cs="Arial"/>
                <w:sz w:val="20"/>
                <w:szCs w:val="20"/>
              </w:rPr>
              <w:t>170</w:t>
            </w:r>
          </w:p>
        </w:tc>
        <w:tc>
          <w:tcPr>
            <w:tcW w:w="1276" w:type="dxa"/>
            <w:vAlign w:val="center"/>
          </w:tcPr>
          <w:p w14:paraId="225DD8B1" w14:textId="1B1B2CBB" w:rsidR="00617806" w:rsidRPr="00191B6F" w:rsidRDefault="00617806" w:rsidP="00617806">
            <w:pPr>
              <w:contextualSpacing/>
              <w:rPr>
                <w:rFonts w:ascii="Arial" w:hAnsi="Arial" w:cs="Arial"/>
                <w:sz w:val="20"/>
                <w:szCs w:val="20"/>
              </w:rPr>
            </w:pPr>
            <w:r>
              <w:rPr>
                <w:rFonts w:ascii="Arial" w:hAnsi="Arial" w:cs="Arial"/>
                <w:sz w:val="20"/>
                <w:szCs w:val="20"/>
              </w:rPr>
              <w:t>1.</w:t>
            </w:r>
            <w:r w:rsidR="00511D9B">
              <w:rPr>
                <w:rFonts w:ascii="Arial" w:hAnsi="Arial" w:cs="Arial"/>
                <w:sz w:val="20"/>
                <w:szCs w:val="20"/>
              </w:rPr>
              <w:t>8.</w:t>
            </w:r>
            <w:r>
              <w:rPr>
                <w:rFonts w:ascii="Arial" w:hAnsi="Arial" w:cs="Arial"/>
                <w:sz w:val="20"/>
                <w:szCs w:val="20"/>
              </w:rPr>
              <w:t>2</w:t>
            </w:r>
            <w:r w:rsidRPr="00222297">
              <w:rPr>
                <w:rFonts w:ascii="Arial" w:hAnsi="Arial" w:cs="Arial"/>
                <w:sz w:val="20"/>
                <w:szCs w:val="20"/>
              </w:rPr>
              <w:t>.</w:t>
            </w:r>
          </w:p>
        </w:tc>
        <w:tc>
          <w:tcPr>
            <w:tcW w:w="3147" w:type="dxa"/>
            <w:shd w:val="clear" w:color="auto" w:fill="auto"/>
            <w:tcMar>
              <w:top w:w="85" w:type="dxa"/>
            </w:tcMar>
            <w:vAlign w:val="center"/>
          </w:tcPr>
          <w:p w14:paraId="054ECB7B" w14:textId="75F07E36" w:rsidR="00617806" w:rsidRPr="000F7284" w:rsidRDefault="00511D9B" w:rsidP="00617806">
            <w:pPr>
              <w:contextualSpacing/>
              <w:rPr>
                <w:rFonts w:ascii="Arial" w:hAnsi="Arial" w:cs="Arial"/>
                <w:sz w:val="20"/>
                <w:szCs w:val="20"/>
              </w:rPr>
            </w:pPr>
            <w:r w:rsidRPr="000F7284">
              <w:rPr>
                <w:rFonts w:ascii="Arial" w:hAnsi="Arial" w:cs="Arial"/>
                <w:sz w:val="20"/>
                <w:szCs w:val="20"/>
              </w:rPr>
              <w:t>Kibocsátott rövid lejáratú, fedezett, hitelviszonyt megtestesítő értékpapírok</w:t>
            </w:r>
          </w:p>
        </w:tc>
        <w:tc>
          <w:tcPr>
            <w:tcW w:w="4082" w:type="dxa"/>
            <w:shd w:val="clear" w:color="auto" w:fill="auto"/>
            <w:tcMar>
              <w:top w:w="85" w:type="dxa"/>
            </w:tcMar>
            <w:vAlign w:val="center"/>
          </w:tcPr>
          <w:p w14:paraId="3AE0E49B" w14:textId="0AFD4C04" w:rsidR="00617806" w:rsidRPr="000F7284" w:rsidRDefault="00E37EE4" w:rsidP="000F7284">
            <w:pPr>
              <w:contextualSpacing/>
              <w:jc w:val="both"/>
              <w:rPr>
                <w:rFonts w:ascii="Arial" w:hAnsi="Arial" w:cs="Arial"/>
                <w:sz w:val="20"/>
                <w:szCs w:val="20"/>
              </w:rPr>
            </w:pPr>
            <w:r>
              <w:rPr>
                <w:rFonts w:ascii="Arial" w:hAnsi="Arial" w:cs="Arial"/>
                <w:sz w:val="20"/>
                <w:szCs w:val="20"/>
              </w:rPr>
              <w:t>R</w:t>
            </w:r>
            <w:r w:rsidR="00975916" w:rsidRPr="000F7284">
              <w:rPr>
                <w:rFonts w:ascii="Arial" w:hAnsi="Arial" w:cs="Arial"/>
                <w:sz w:val="20"/>
                <w:szCs w:val="20"/>
              </w:rPr>
              <w:t>övid lejáratú hitelviszonyt megtestesítő értékpapírok</w:t>
            </w:r>
            <w:r>
              <w:rPr>
                <w:rFonts w:ascii="Arial" w:hAnsi="Arial" w:cs="Arial"/>
                <w:sz w:val="20"/>
                <w:szCs w:val="20"/>
              </w:rPr>
              <w:t xml:space="preserve"> </w:t>
            </w:r>
            <w:r w:rsidR="00975916" w:rsidRPr="000F7284">
              <w:rPr>
                <w:rFonts w:ascii="Arial" w:hAnsi="Arial" w:cs="Arial"/>
                <w:sz w:val="20"/>
                <w:szCs w:val="20"/>
              </w:rPr>
              <w:t xml:space="preserve">(a 150. sorban meghatározottak szerint), amelyek </w:t>
            </w:r>
            <w:r w:rsidR="00975916" w:rsidRPr="00B308EB">
              <w:rPr>
                <w:rFonts w:ascii="Arial" w:hAnsi="Arial" w:cs="Arial"/>
                <w:sz w:val="20"/>
                <w:szCs w:val="20"/>
              </w:rPr>
              <w:t>biztosítékkal vannak fedezve vagy biztosítva.</w:t>
            </w:r>
            <w:r w:rsidR="00975916" w:rsidRPr="000F7284">
              <w:rPr>
                <w:rFonts w:ascii="Arial" w:hAnsi="Arial" w:cs="Arial"/>
                <w:sz w:val="20"/>
                <w:szCs w:val="20"/>
              </w:rPr>
              <w:t xml:space="preserve"> </w:t>
            </w:r>
          </w:p>
        </w:tc>
      </w:tr>
      <w:tr w:rsidR="00617806" w:rsidRPr="00191B6F" w14:paraId="66C1DC5A" w14:textId="77777777" w:rsidTr="00D23413">
        <w:tc>
          <w:tcPr>
            <w:tcW w:w="959" w:type="dxa"/>
            <w:shd w:val="clear" w:color="auto" w:fill="auto"/>
            <w:tcMar>
              <w:top w:w="85" w:type="dxa"/>
            </w:tcMar>
            <w:vAlign w:val="center"/>
          </w:tcPr>
          <w:p w14:paraId="31DEA209" w14:textId="77777777" w:rsidR="00617806" w:rsidRPr="00191B6F" w:rsidRDefault="00617806" w:rsidP="00617806">
            <w:pPr>
              <w:contextualSpacing/>
              <w:rPr>
                <w:rFonts w:ascii="Arial" w:hAnsi="Arial" w:cs="Arial"/>
                <w:sz w:val="20"/>
                <w:szCs w:val="20"/>
              </w:rPr>
            </w:pPr>
            <w:r w:rsidRPr="00191B6F">
              <w:rPr>
                <w:rFonts w:ascii="Arial" w:hAnsi="Arial" w:cs="Arial"/>
                <w:sz w:val="20"/>
                <w:szCs w:val="20"/>
              </w:rPr>
              <w:t>180</w:t>
            </w:r>
          </w:p>
        </w:tc>
        <w:tc>
          <w:tcPr>
            <w:tcW w:w="1276" w:type="dxa"/>
            <w:vAlign w:val="center"/>
          </w:tcPr>
          <w:p w14:paraId="44FB12BA" w14:textId="3259E389" w:rsidR="00617806" w:rsidRPr="00191B6F" w:rsidRDefault="00617806" w:rsidP="00617806">
            <w:pPr>
              <w:contextualSpacing/>
              <w:rPr>
                <w:rFonts w:ascii="Arial" w:hAnsi="Arial" w:cs="Arial"/>
                <w:sz w:val="20"/>
                <w:szCs w:val="20"/>
              </w:rPr>
            </w:pPr>
            <w:r w:rsidRPr="00222297">
              <w:rPr>
                <w:rFonts w:ascii="Arial" w:hAnsi="Arial" w:cs="Arial"/>
                <w:sz w:val="20"/>
                <w:szCs w:val="20"/>
              </w:rPr>
              <w:t>1.</w:t>
            </w:r>
            <w:r w:rsidR="00511D9B">
              <w:rPr>
                <w:rFonts w:ascii="Arial" w:hAnsi="Arial" w:cs="Arial"/>
                <w:sz w:val="20"/>
                <w:szCs w:val="20"/>
              </w:rPr>
              <w:t>9.</w:t>
            </w:r>
          </w:p>
        </w:tc>
        <w:tc>
          <w:tcPr>
            <w:tcW w:w="3147" w:type="dxa"/>
            <w:shd w:val="clear" w:color="auto" w:fill="auto"/>
            <w:tcMar>
              <w:top w:w="85" w:type="dxa"/>
            </w:tcMar>
            <w:vAlign w:val="center"/>
          </w:tcPr>
          <w:p w14:paraId="16F806F1" w14:textId="1531511D" w:rsidR="00A737F0" w:rsidRPr="00D80B60" w:rsidRDefault="00617806" w:rsidP="00E914E6">
            <w:pPr>
              <w:contextualSpacing/>
              <w:jc w:val="both"/>
              <w:rPr>
                <w:rFonts w:ascii="Arial" w:hAnsi="Arial" w:cs="Arial"/>
                <w:sz w:val="20"/>
                <w:szCs w:val="20"/>
              </w:rPr>
            </w:pPr>
            <w:r w:rsidRPr="00A737F0">
              <w:rPr>
                <w:rFonts w:ascii="Arial" w:hAnsi="Arial" w:cs="Arial"/>
                <w:sz w:val="20"/>
                <w:szCs w:val="20"/>
              </w:rPr>
              <w:t>Kibocsátott</w:t>
            </w:r>
            <w:r w:rsidR="00D23413">
              <w:rPr>
                <w:rFonts w:ascii="Arial" w:hAnsi="Arial" w:cs="Arial"/>
                <w:sz w:val="20"/>
                <w:szCs w:val="20"/>
              </w:rPr>
              <w:t xml:space="preserve"> </w:t>
            </w:r>
            <w:r w:rsidRPr="00A737F0">
              <w:rPr>
                <w:rFonts w:ascii="Arial" w:hAnsi="Arial" w:cs="Arial"/>
                <w:sz w:val="20"/>
                <w:szCs w:val="20"/>
              </w:rPr>
              <w:t xml:space="preserve">hosszú lejáratú </w:t>
            </w:r>
            <w:r w:rsidRPr="00F16382">
              <w:rPr>
                <w:rFonts w:ascii="Arial" w:hAnsi="Arial" w:cs="Arial"/>
                <w:sz w:val="20"/>
                <w:szCs w:val="20"/>
              </w:rPr>
              <w:t xml:space="preserve">hitelviszonyt megtestesítő értékpapírok </w:t>
            </w:r>
            <w:r w:rsidR="00A737F0">
              <w:rPr>
                <w:rFonts w:ascii="Arial" w:hAnsi="Arial" w:cs="Arial"/>
                <w:sz w:val="20"/>
                <w:szCs w:val="20"/>
              </w:rPr>
              <w:t xml:space="preserve">(eredeti lejárat </w:t>
            </w:r>
            <w:r w:rsidR="00A85E5F" w:rsidRPr="00A85E5F">
              <w:rPr>
                <w:rFonts w:ascii="Arial" w:hAnsi="Arial" w:cs="Arial"/>
                <w:sz w:val="20"/>
                <w:szCs w:val="20"/>
              </w:rPr>
              <w:t>≥</w:t>
            </w:r>
            <w:r w:rsidR="00A737F0">
              <w:rPr>
                <w:rFonts w:ascii="Arial" w:hAnsi="Arial" w:cs="Arial"/>
                <w:sz w:val="20"/>
                <w:szCs w:val="20"/>
              </w:rPr>
              <w:t>1 év)</w:t>
            </w:r>
            <w:r w:rsidR="00A737F0" w:rsidRPr="00D80B60">
              <w:rPr>
                <w:sz w:val="22"/>
                <w:szCs w:val="22"/>
                <w:u w:val="single"/>
              </w:rPr>
              <w:t xml:space="preserve"> </w:t>
            </w:r>
          </w:p>
          <w:p w14:paraId="6F0A5324" w14:textId="52B82DDA" w:rsidR="00617806" w:rsidRPr="000F7284" w:rsidRDefault="00617806" w:rsidP="00617806">
            <w:pPr>
              <w:contextualSpacing/>
              <w:rPr>
                <w:rFonts w:ascii="Arial" w:hAnsi="Arial" w:cs="Arial"/>
                <w:sz w:val="20"/>
                <w:szCs w:val="20"/>
              </w:rPr>
            </w:pPr>
          </w:p>
        </w:tc>
        <w:tc>
          <w:tcPr>
            <w:tcW w:w="4082" w:type="dxa"/>
            <w:shd w:val="clear" w:color="auto" w:fill="auto"/>
            <w:tcMar>
              <w:top w:w="85" w:type="dxa"/>
            </w:tcMar>
            <w:vAlign w:val="center"/>
          </w:tcPr>
          <w:p w14:paraId="7A2489A8" w14:textId="01622D58" w:rsidR="00617806" w:rsidRPr="00204631" w:rsidRDefault="00E37EE4" w:rsidP="00D80B60">
            <w:pPr>
              <w:pStyle w:val="Default"/>
              <w:spacing w:before="143" w:after="143"/>
              <w:jc w:val="both"/>
              <w:rPr>
                <w:rFonts w:ascii="Arial" w:hAnsi="Arial" w:cs="Arial"/>
                <w:sz w:val="20"/>
                <w:szCs w:val="20"/>
              </w:rPr>
            </w:pPr>
            <w:r>
              <w:rPr>
                <w:rFonts w:ascii="Arial" w:hAnsi="Arial" w:cs="Arial"/>
                <w:sz w:val="20"/>
                <w:szCs w:val="20"/>
              </w:rPr>
              <w:t>K</w:t>
            </w:r>
            <w:r w:rsidR="00975916" w:rsidRPr="000F7284">
              <w:rPr>
                <w:rFonts w:ascii="Arial" w:hAnsi="Arial" w:cs="Arial"/>
                <w:sz w:val="20"/>
                <w:szCs w:val="20"/>
              </w:rPr>
              <w:t>ibocsátott hitelviszonyt megtestesítő értékpapírok</w:t>
            </w:r>
            <w:r>
              <w:rPr>
                <w:rFonts w:ascii="Arial" w:hAnsi="Arial" w:cs="Arial"/>
                <w:sz w:val="20"/>
                <w:szCs w:val="20"/>
              </w:rPr>
              <w:t xml:space="preserve"> </w:t>
            </w:r>
            <w:r w:rsidR="00975916" w:rsidRPr="000F7284">
              <w:rPr>
                <w:rFonts w:ascii="Arial" w:hAnsi="Arial" w:cs="Arial"/>
                <w:sz w:val="20"/>
                <w:szCs w:val="20"/>
              </w:rPr>
              <w:t>a</w:t>
            </w:r>
            <w:r w:rsidR="009C75CD">
              <w:rPr>
                <w:rFonts w:ascii="Arial" w:hAnsi="Arial" w:cs="Arial"/>
                <w:sz w:val="20"/>
                <w:szCs w:val="20"/>
              </w:rPr>
              <w:t>z</w:t>
            </w:r>
            <w:r w:rsidR="00975916" w:rsidRPr="000F7284">
              <w:rPr>
                <w:rFonts w:ascii="Arial" w:hAnsi="Arial" w:cs="Arial"/>
                <w:sz w:val="20"/>
                <w:szCs w:val="20"/>
              </w:rPr>
              <w:t xml:space="preserve"> </w:t>
            </w:r>
            <w:r w:rsidR="002A5321">
              <w:rPr>
                <w:rFonts w:ascii="Arial" w:hAnsi="Arial" w:cs="Arial"/>
                <w:sz w:val="20"/>
                <w:szCs w:val="20"/>
              </w:rPr>
              <w:t>(EU) 2021/451</w:t>
            </w:r>
            <w:r w:rsidR="00975916" w:rsidRPr="000F7284">
              <w:rPr>
                <w:rFonts w:ascii="Arial" w:hAnsi="Arial" w:cs="Arial"/>
                <w:sz w:val="20"/>
                <w:szCs w:val="20"/>
              </w:rPr>
              <w:t xml:space="preserve"> </w:t>
            </w:r>
            <w:r w:rsidR="00653415" w:rsidRPr="00653415">
              <w:rPr>
                <w:rFonts w:ascii="Arial" w:hAnsi="Arial" w:cs="Arial"/>
                <w:sz w:val="20"/>
                <w:szCs w:val="20"/>
              </w:rPr>
              <w:t>bizottsági végrehajtási</w:t>
            </w:r>
            <w:r w:rsidR="00653415" w:rsidRPr="000F7284">
              <w:rPr>
                <w:rFonts w:ascii="Arial" w:hAnsi="Arial" w:cs="Arial"/>
                <w:sz w:val="20"/>
                <w:szCs w:val="20"/>
              </w:rPr>
              <w:t xml:space="preserve"> </w:t>
            </w:r>
            <w:r w:rsidR="00975916" w:rsidRPr="000F7284">
              <w:rPr>
                <w:rFonts w:ascii="Arial" w:hAnsi="Arial" w:cs="Arial"/>
                <w:sz w:val="20"/>
                <w:szCs w:val="20"/>
              </w:rPr>
              <w:t xml:space="preserve">rendelet V. melléklet 1. rész 37. </w:t>
            </w:r>
            <w:r w:rsidR="00653415">
              <w:rPr>
                <w:rFonts w:ascii="Arial" w:hAnsi="Arial" w:cs="Arial"/>
                <w:sz w:val="20"/>
                <w:szCs w:val="20"/>
              </w:rPr>
              <w:t>pontjában</w:t>
            </w:r>
            <w:r w:rsidR="00975916" w:rsidRPr="000F7284">
              <w:rPr>
                <w:rFonts w:ascii="Arial" w:hAnsi="Arial" w:cs="Arial"/>
                <w:sz w:val="20"/>
                <w:szCs w:val="20"/>
              </w:rPr>
              <w:t xml:space="preserve"> és 2. rész 98. </w:t>
            </w:r>
            <w:r w:rsidR="00653415">
              <w:rPr>
                <w:rFonts w:ascii="Arial" w:hAnsi="Arial" w:cs="Arial"/>
                <w:sz w:val="20"/>
                <w:szCs w:val="20"/>
              </w:rPr>
              <w:t>pontjában</w:t>
            </w:r>
            <w:r w:rsidR="00975916" w:rsidRPr="000F7284">
              <w:rPr>
                <w:rFonts w:ascii="Arial" w:hAnsi="Arial" w:cs="Arial"/>
                <w:sz w:val="20"/>
                <w:szCs w:val="20"/>
              </w:rPr>
              <w:t xml:space="preserve"> meghatározottak szerint. </w:t>
            </w:r>
            <w:r w:rsidR="00D170AA">
              <w:rPr>
                <w:rFonts w:ascii="Arial" w:hAnsi="Arial" w:cs="Arial"/>
                <w:sz w:val="20"/>
                <w:szCs w:val="20"/>
              </w:rPr>
              <w:t>A</w:t>
            </w:r>
            <w:r w:rsidR="00975916" w:rsidRPr="00E0230B">
              <w:rPr>
                <w:rFonts w:ascii="Arial" w:hAnsi="Arial" w:cs="Arial"/>
                <w:sz w:val="20"/>
                <w:szCs w:val="20"/>
              </w:rPr>
              <w:t>z 1 éves vagy annál hosszabb eredeti lej</w:t>
            </w:r>
            <w:r w:rsidR="00975916" w:rsidRPr="00D80B60">
              <w:rPr>
                <w:rFonts w:ascii="Arial" w:hAnsi="Arial" w:cs="Arial"/>
                <w:sz w:val="20"/>
                <w:szCs w:val="20"/>
              </w:rPr>
              <w:t xml:space="preserve">áratú </w:t>
            </w:r>
            <w:r w:rsidR="00975916" w:rsidRPr="00F16382">
              <w:rPr>
                <w:rFonts w:ascii="Arial" w:hAnsi="Arial" w:cs="Arial"/>
                <w:sz w:val="20"/>
                <w:szCs w:val="20"/>
              </w:rPr>
              <w:t>h</w:t>
            </w:r>
            <w:r w:rsidR="00617806" w:rsidRPr="00F16382">
              <w:rPr>
                <w:rFonts w:ascii="Arial" w:hAnsi="Arial" w:cs="Arial"/>
                <w:sz w:val="20"/>
                <w:szCs w:val="20"/>
              </w:rPr>
              <w:t>itelviszonyt megtestesítő értékpapírok</w:t>
            </w:r>
            <w:r w:rsidR="00D170AA">
              <w:rPr>
                <w:rFonts w:ascii="Arial" w:hAnsi="Arial" w:cs="Arial"/>
                <w:sz w:val="20"/>
                <w:szCs w:val="20"/>
              </w:rPr>
              <w:t xml:space="preserve">, </w:t>
            </w:r>
            <w:r w:rsidR="00A737F0" w:rsidRPr="00D80B60">
              <w:rPr>
                <w:rFonts w:ascii="Arial" w:hAnsi="Arial" w:cs="Arial"/>
                <w:sz w:val="20"/>
                <w:szCs w:val="20"/>
              </w:rPr>
              <w:lastRenderedPageBreak/>
              <w:t>valamint azok</w:t>
            </w:r>
            <w:r w:rsidR="00617806" w:rsidRPr="00E0230B">
              <w:rPr>
                <w:rFonts w:ascii="Arial" w:hAnsi="Arial" w:cs="Arial"/>
                <w:sz w:val="20"/>
                <w:szCs w:val="20"/>
              </w:rPr>
              <w:t xml:space="preserve">, </w:t>
            </w:r>
            <w:r w:rsidR="00B326EA" w:rsidRPr="00D80B60">
              <w:rPr>
                <w:rFonts w:ascii="Arial" w:hAnsi="Arial" w:cs="Arial"/>
                <w:sz w:val="20"/>
                <w:szCs w:val="20"/>
              </w:rPr>
              <w:t>a</w:t>
            </w:r>
            <w:r w:rsidR="00617806" w:rsidRPr="00E0230B">
              <w:rPr>
                <w:rFonts w:ascii="Arial" w:hAnsi="Arial" w:cs="Arial"/>
                <w:sz w:val="20"/>
                <w:szCs w:val="20"/>
              </w:rPr>
              <w:t>melyek</w:t>
            </w:r>
            <w:r w:rsidR="00617806" w:rsidRPr="00F16382">
              <w:rPr>
                <w:rFonts w:ascii="Arial" w:hAnsi="Arial" w:cs="Arial"/>
                <w:sz w:val="20"/>
                <w:szCs w:val="20"/>
              </w:rPr>
              <w:t xml:space="preserve"> </w:t>
            </w:r>
            <w:r w:rsidR="00B326EA" w:rsidRPr="00D80B60">
              <w:rPr>
                <w:rFonts w:ascii="Arial" w:hAnsi="Arial" w:cs="Arial"/>
                <w:sz w:val="20"/>
                <w:szCs w:val="20"/>
              </w:rPr>
              <w:t xml:space="preserve">lehető </w:t>
            </w:r>
            <w:r w:rsidR="00617806" w:rsidRPr="00F16382">
              <w:rPr>
                <w:rFonts w:ascii="Arial" w:hAnsi="Arial" w:cs="Arial"/>
                <w:sz w:val="20"/>
                <w:szCs w:val="20"/>
              </w:rPr>
              <w:t xml:space="preserve">legkorábbi </w:t>
            </w:r>
            <w:r w:rsidR="00B326EA" w:rsidRPr="00D80B60">
              <w:rPr>
                <w:rFonts w:ascii="Arial" w:hAnsi="Arial" w:cs="Arial"/>
                <w:sz w:val="20"/>
                <w:szCs w:val="20"/>
              </w:rPr>
              <w:t xml:space="preserve">lehívásának dátuma </w:t>
            </w:r>
            <w:r w:rsidR="00E0230B" w:rsidRPr="00D80B60">
              <w:rPr>
                <w:rFonts w:ascii="Arial" w:hAnsi="Arial" w:cs="Arial"/>
                <w:sz w:val="20"/>
                <w:szCs w:val="20"/>
              </w:rPr>
              <w:t xml:space="preserve">a kibocsátás napján </w:t>
            </w:r>
            <w:r w:rsidR="00617806" w:rsidRPr="00F16382">
              <w:rPr>
                <w:rFonts w:ascii="Arial" w:hAnsi="Arial" w:cs="Arial"/>
                <w:sz w:val="20"/>
                <w:szCs w:val="20"/>
              </w:rPr>
              <w:t>12 hónap</w:t>
            </w:r>
            <w:r w:rsidR="00E0230B" w:rsidRPr="00D80B60">
              <w:rPr>
                <w:rFonts w:ascii="Arial" w:hAnsi="Arial" w:cs="Arial"/>
                <w:sz w:val="20"/>
                <w:szCs w:val="20"/>
              </w:rPr>
              <w:t xml:space="preserve"> vagy annál több</w:t>
            </w:r>
            <w:r w:rsidR="008D0480">
              <w:rPr>
                <w:rFonts w:ascii="Arial" w:hAnsi="Arial" w:cs="Arial"/>
                <w:sz w:val="20"/>
                <w:szCs w:val="20"/>
              </w:rPr>
              <w:t>.</w:t>
            </w:r>
          </w:p>
        </w:tc>
      </w:tr>
      <w:tr w:rsidR="00617806" w:rsidRPr="00191B6F" w14:paraId="3F91CD3D" w14:textId="77777777" w:rsidTr="00D23413">
        <w:tc>
          <w:tcPr>
            <w:tcW w:w="959" w:type="dxa"/>
            <w:shd w:val="clear" w:color="auto" w:fill="auto"/>
            <w:tcMar>
              <w:top w:w="85" w:type="dxa"/>
            </w:tcMar>
            <w:vAlign w:val="center"/>
          </w:tcPr>
          <w:p w14:paraId="362F5F4F" w14:textId="77777777" w:rsidR="00617806" w:rsidRPr="00191B6F" w:rsidRDefault="00617806" w:rsidP="00617806">
            <w:pPr>
              <w:contextualSpacing/>
              <w:rPr>
                <w:rFonts w:ascii="Arial" w:hAnsi="Arial" w:cs="Arial"/>
                <w:sz w:val="20"/>
                <w:szCs w:val="20"/>
              </w:rPr>
            </w:pPr>
            <w:r>
              <w:rPr>
                <w:rFonts w:ascii="Arial" w:hAnsi="Arial" w:cs="Arial"/>
                <w:sz w:val="20"/>
                <w:szCs w:val="20"/>
              </w:rPr>
              <w:lastRenderedPageBreak/>
              <w:t>190</w:t>
            </w:r>
          </w:p>
        </w:tc>
        <w:tc>
          <w:tcPr>
            <w:tcW w:w="1276" w:type="dxa"/>
            <w:vAlign w:val="center"/>
          </w:tcPr>
          <w:p w14:paraId="526821C8" w14:textId="51BE64C0" w:rsidR="00617806" w:rsidRDefault="00617806" w:rsidP="00617806">
            <w:pPr>
              <w:contextualSpacing/>
              <w:rPr>
                <w:rFonts w:ascii="Arial" w:hAnsi="Arial" w:cs="Arial"/>
                <w:sz w:val="20"/>
                <w:szCs w:val="20"/>
              </w:rPr>
            </w:pPr>
            <w:r w:rsidRPr="00222297">
              <w:rPr>
                <w:rFonts w:ascii="Arial" w:hAnsi="Arial" w:cs="Arial"/>
                <w:sz w:val="20"/>
                <w:szCs w:val="20"/>
              </w:rPr>
              <w:t>1.</w:t>
            </w:r>
            <w:r w:rsidR="00511D9B">
              <w:rPr>
                <w:rFonts w:ascii="Arial" w:hAnsi="Arial" w:cs="Arial"/>
                <w:sz w:val="20"/>
                <w:szCs w:val="20"/>
              </w:rPr>
              <w:t>9.</w:t>
            </w:r>
            <w:r>
              <w:rPr>
                <w:rFonts w:ascii="Arial" w:hAnsi="Arial" w:cs="Arial"/>
                <w:sz w:val="20"/>
                <w:szCs w:val="20"/>
              </w:rPr>
              <w:t>1.</w:t>
            </w:r>
          </w:p>
        </w:tc>
        <w:tc>
          <w:tcPr>
            <w:tcW w:w="3147" w:type="dxa"/>
            <w:shd w:val="clear" w:color="auto" w:fill="auto"/>
            <w:tcMar>
              <w:top w:w="85" w:type="dxa"/>
            </w:tcMar>
            <w:vAlign w:val="center"/>
          </w:tcPr>
          <w:p w14:paraId="7FE4C574" w14:textId="102BEEB9" w:rsidR="00617806" w:rsidRPr="00B308EB" w:rsidRDefault="00511D9B" w:rsidP="00617806">
            <w:pPr>
              <w:contextualSpacing/>
              <w:rPr>
                <w:rFonts w:ascii="Arial" w:hAnsi="Arial" w:cs="Arial"/>
                <w:sz w:val="20"/>
                <w:szCs w:val="20"/>
              </w:rPr>
            </w:pPr>
            <w:r w:rsidRPr="00B308EB">
              <w:rPr>
                <w:rFonts w:ascii="Arial" w:hAnsi="Arial" w:cs="Arial"/>
                <w:sz w:val="20"/>
                <w:szCs w:val="20"/>
              </w:rPr>
              <w:t xml:space="preserve">Kibocsátott </w:t>
            </w:r>
            <w:r w:rsidR="00617806" w:rsidRPr="00B308EB">
              <w:rPr>
                <w:rFonts w:ascii="Arial" w:hAnsi="Arial" w:cs="Arial"/>
                <w:sz w:val="20"/>
                <w:szCs w:val="20"/>
              </w:rPr>
              <w:t>hosszú lejáratú</w:t>
            </w:r>
            <w:r w:rsidR="00617806" w:rsidRPr="00C41946">
              <w:rPr>
                <w:rFonts w:ascii="Arial" w:hAnsi="Arial" w:cs="Arial"/>
                <w:sz w:val="20"/>
                <w:szCs w:val="20"/>
              </w:rPr>
              <w:t>, fedezetlen</w:t>
            </w:r>
            <w:r w:rsidRPr="00B308EB">
              <w:rPr>
                <w:rFonts w:ascii="Arial" w:hAnsi="Arial" w:cs="Arial"/>
                <w:sz w:val="20"/>
                <w:szCs w:val="20"/>
              </w:rPr>
              <w:t xml:space="preserve"> hitelviszonyt megtestesítő értékpapírok összesen</w:t>
            </w:r>
          </w:p>
        </w:tc>
        <w:tc>
          <w:tcPr>
            <w:tcW w:w="4082" w:type="dxa"/>
            <w:shd w:val="clear" w:color="auto" w:fill="auto"/>
            <w:tcMar>
              <w:top w:w="85" w:type="dxa"/>
            </w:tcMar>
            <w:vAlign w:val="center"/>
          </w:tcPr>
          <w:p w14:paraId="0677DE24" w14:textId="1A819D41" w:rsidR="00617806" w:rsidRPr="00B308EB" w:rsidRDefault="00E37EE4" w:rsidP="00C07C1B">
            <w:pPr>
              <w:pStyle w:val="Default"/>
              <w:spacing w:before="143" w:after="143"/>
              <w:jc w:val="both"/>
              <w:rPr>
                <w:rFonts w:ascii="Arial" w:hAnsi="Arial" w:cs="Arial"/>
                <w:sz w:val="20"/>
                <w:szCs w:val="20"/>
              </w:rPr>
            </w:pPr>
            <w:r>
              <w:rPr>
                <w:rFonts w:ascii="Arial" w:hAnsi="Arial" w:cs="Arial"/>
                <w:sz w:val="20"/>
                <w:szCs w:val="20"/>
              </w:rPr>
              <w:t>H</w:t>
            </w:r>
            <w:r w:rsidR="00975916" w:rsidRPr="00B308EB">
              <w:rPr>
                <w:rFonts w:ascii="Arial" w:hAnsi="Arial" w:cs="Arial"/>
                <w:sz w:val="20"/>
                <w:szCs w:val="20"/>
              </w:rPr>
              <w:t>osszú lejáratú hitelviszonyt megtestesítő értékpapírok</w:t>
            </w:r>
            <w:r>
              <w:rPr>
                <w:rFonts w:ascii="Arial" w:hAnsi="Arial" w:cs="Arial"/>
                <w:sz w:val="20"/>
                <w:szCs w:val="20"/>
              </w:rPr>
              <w:t xml:space="preserve"> </w:t>
            </w:r>
            <w:r w:rsidR="00975916" w:rsidRPr="00B308EB">
              <w:rPr>
                <w:rFonts w:ascii="Arial" w:hAnsi="Arial" w:cs="Arial"/>
                <w:sz w:val="20"/>
                <w:szCs w:val="20"/>
              </w:rPr>
              <w:t xml:space="preserve">(a 180. sorban meghatározottak szerint), amelyek nincsenek biztosítékkal fedezve vagy biztosítva. </w:t>
            </w:r>
          </w:p>
        </w:tc>
      </w:tr>
      <w:tr w:rsidR="00511D9B" w:rsidRPr="00191B6F" w14:paraId="399C9B6E" w14:textId="77777777" w:rsidTr="00637D24">
        <w:trPr>
          <w:trHeight w:val="786"/>
        </w:trPr>
        <w:tc>
          <w:tcPr>
            <w:tcW w:w="959" w:type="dxa"/>
            <w:shd w:val="clear" w:color="auto" w:fill="auto"/>
            <w:tcMar>
              <w:top w:w="85" w:type="dxa"/>
            </w:tcMar>
            <w:vAlign w:val="center"/>
          </w:tcPr>
          <w:p w14:paraId="6D1C1622" w14:textId="378F709C" w:rsidR="00511D9B" w:rsidRPr="00191B6F" w:rsidRDefault="001610A2" w:rsidP="00617806">
            <w:pPr>
              <w:contextualSpacing/>
              <w:rPr>
                <w:rFonts w:ascii="Arial" w:hAnsi="Arial" w:cs="Arial"/>
                <w:sz w:val="20"/>
                <w:szCs w:val="20"/>
              </w:rPr>
            </w:pPr>
            <w:r>
              <w:rPr>
                <w:rFonts w:ascii="Arial" w:hAnsi="Arial" w:cs="Arial"/>
                <w:sz w:val="20"/>
                <w:szCs w:val="20"/>
              </w:rPr>
              <w:t>191</w:t>
            </w:r>
          </w:p>
        </w:tc>
        <w:tc>
          <w:tcPr>
            <w:tcW w:w="1276" w:type="dxa"/>
            <w:vAlign w:val="center"/>
          </w:tcPr>
          <w:p w14:paraId="698A06AB" w14:textId="7425D068" w:rsidR="00511D9B" w:rsidRPr="00222297" w:rsidRDefault="001610A2" w:rsidP="00617806">
            <w:pPr>
              <w:contextualSpacing/>
              <w:rPr>
                <w:rFonts w:ascii="Arial" w:hAnsi="Arial" w:cs="Arial"/>
                <w:sz w:val="20"/>
                <w:szCs w:val="20"/>
              </w:rPr>
            </w:pPr>
            <w:r>
              <w:rPr>
                <w:rFonts w:ascii="Arial" w:hAnsi="Arial" w:cs="Arial"/>
                <w:sz w:val="20"/>
                <w:szCs w:val="20"/>
              </w:rPr>
              <w:t>1.9.1.1.</w:t>
            </w:r>
          </w:p>
        </w:tc>
        <w:tc>
          <w:tcPr>
            <w:tcW w:w="3147" w:type="dxa"/>
            <w:shd w:val="clear" w:color="auto" w:fill="auto"/>
            <w:tcMar>
              <w:top w:w="85" w:type="dxa"/>
            </w:tcMar>
            <w:vAlign w:val="center"/>
          </w:tcPr>
          <w:p w14:paraId="6F2EB2BF" w14:textId="46F1407C" w:rsidR="00511D9B" w:rsidRPr="00B308EB" w:rsidRDefault="001610A2" w:rsidP="00617806">
            <w:pPr>
              <w:contextualSpacing/>
              <w:rPr>
                <w:rFonts w:ascii="Arial" w:hAnsi="Arial" w:cs="Arial"/>
                <w:sz w:val="20"/>
                <w:szCs w:val="20"/>
              </w:rPr>
            </w:pPr>
            <w:r w:rsidRPr="00B308EB">
              <w:rPr>
                <w:rFonts w:ascii="Arial" w:hAnsi="Arial" w:cs="Arial"/>
                <w:sz w:val="20"/>
                <w:szCs w:val="20"/>
              </w:rPr>
              <w:t>Kiegészítő alapvető tőkeinstrumentumok</w:t>
            </w:r>
          </w:p>
        </w:tc>
        <w:tc>
          <w:tcPr>
            <w:tcW w:w="4082" w:type="dxa"/>
            <w:shd w:val="clear" w:color="auto" w:fill="auto"/>
            <w:tcMar>
              <w:top w:w="85" w:type="dxa"/>
            </w:tcMar>
            <w:vAlign w:val="center"/>
          </w:tcPr>
          <w:p w14:paraId="6D8C476A" w14:textId="52464C11" w:rsidR="00511D9B" w:rsidRPr="00B308EB" w:rsidRDefault="00D170AA" w:rsidP="00B308EB">
            <w:pPr>
              <w:pStyle w:val="Default"/>
              <w:spacing w:before="143" w:after="143"/>
              <w:jc w:val="both"/>
              <w:rPr>
                <w:rFonts w:ascii="Arial" w:hAnsi="Arial" w:cs="Arial"/>
                <w:sz w:val="20"/>
                <w:szCs w:val="20"/>
              </w:rPr>
            </w:pPr>
            <w:r>
              <w:rPr>
                <w:rFonts w:ascii="Arial" w:hAnsi="Arial" w:cs="Arial"/>
                <w:sz w:val="20"/>
                <w:szCs w:val="20"/>
              </w:rPr>
              <w:t>T</w:t>
            </w:r>
            <w:r w:rsidR="00975916" w:rsidRPr="00B308EB">
              <w:rPr>
                <w:rFonts w:ascii="Arial" w:hAnsi="Arial" w:cs="Arial"/>
                <w:sz w:val="20"/>
                <w:szCs w:val="20"/>
              </w:rPr>
              <w:t>őkeinstrumentumok</w:t>
            </w:r>
            <w:r>
              <w:rPr>
                <w:rFonts w:ascii="Arial" w:hAnsi="Arial" w:cs="Arial"/>
                <w:sz w:val="20"/>
                <w:szCs w:val="20"/>
              </w:rPr>
              <w:t xml:space="preserve">, </w:t>
            </w:r>
            <w:r w:rsidR="00975916" w:rsidRPr="00B308EB">
              <w:rPr>
                <w:rFonts w:ascii="Arial" w:hAnsi="Arial" w:cs="Arial"/>
                <w:sz w:val="20"/>
                <w:szCs w:val="20"/>
              </w:rPr>
              <w:t>amelyek megfelelnek a</w:t>
            </w:r>
            <w:r w:rsidR="00F757E2">
              <w:rPr>
                <w:rFonts w:ascii="Arial" w:hAnsi="Arial" w:cs="Arial"/>
                <w:sz w:val="20"/>
                <w:szCs w:val="20"/>
              </w:rPr>
              <w:t xml:space="preserve"> CRR </w:t>
            </w:r>
            <w:r w:rsidR="00975916" w:rsidRPr="00B308EB">
              <w:rPr>
                <w:rFonts w:ascii="Arial" w:hAnsi="Arial" w:cs="Arial"/>
                <w:sz w:val="20"/>
                <w:szCs w:val="20"/>
              </w:rPr>
              <w:t xml:space="preserve">52. cikk </w:t>
            </w:r>
            <w:r w:rsidR="0098615D">
              <w:rPr>
                <w:rFonts w:ascii="Arial" w:hAnsi="Arial" w:cs="Arial"/>
                <w:sz w:val="20"/>
                <w:szCs w:val="20"/>
              </w:rPr>
              <w:t>(</w:t>
            </w:r>
            <w:r w:rsidR="00975916" w:rsidRPr="00B308EB">
              <w:rPr>
                <w:rFonts w:ascii="Arial" w:hAnsi="Arial" w:cs="Arial"/>
                <w:sz w:val="20"/>
                <w:szCs w:val="20"/>
              </w:rPr>
              <w:t xml:space="preserve">1) bekezdésében megállapított feltételeknek. </w:t>
            </w:r>
          </w:p>
        </w:tc>
      </w:tr>
      <w:tr w:rsidR="00511D9B" w:rsidRPr="00191B6F" w14:paraId="0FD780B3" w14:textId="77777777" w:rsidTr="00D23413">
        <w:tc>
          <w:tcPr>
            <w:tcW w:w="959" w:type="dxa"/>
            <w:shd w:val="clear" w:color="auto" w:fill="auto"/>
            <w:tcMar>
              <w:top w:w="85" w:type="dxa"/>
            </w:tcMar>
            <w:vAlign w:val="center"/>
          </w:tcPr>
          <w:p w14:paraId="4803906B" w14:textId="128965E7" w:rsidR="00511D9B" w:rsidRPr="00191B6F" w:rsidRDefault="001610A2" w:rsidP="00617806">
            <w:pPr>
              <w:contextualSpacing/>
              <w:rPr>
                <w:rFonts w:ascii="Arial" w:hAnsi="Arial" w:cs="Arial"/>
                <w:sz w:val="20"/>
                <w:szCs w:val="20"/>
              </w:rPr>
            </w:pPr>
            <w:r>
              <w:rPr>
                <w:rFonts w:ascii="Arial" w:hAnsi="Arial" w:cs="Arial"/>
                <w:sz w:val="20"/>
                <w:szCs w:val="20"/>
              </w:rPr>
              <w:t>192</w:t>
            </w:r>
          </w:p>
        </w:tc>
        <w:tc>
          <w:tcPr>
            <w:tcW w:w="1276" w:type="dxa"/>
            <w:vAlign w:val="center"/>
          </w:tcPr>
          <w:p w14:paraId="4BC84152" w14:textId="255E74E6" w:rsidR="00511D9B" w:rsidRPr="00222297" w:rsidRDefault="001610A2" w:rsidP="00617806">
            <w:pPr>
              <w:contextualSpacing/>
              <w:rPr>
                <w:rFonts w:ascii="Arial" w:hAnsi="Arial" w:cs="Arial"/>
                <w:sz w:val="20"/>
                <w:szCs w:val="20"/>
              </w:rPr>
            </w:pPr>
            <w:r>
              <w:rPr>
                <w:rFonts w:ascii="Arial" w:hAnsi="Arial" w:cs="Arial"/>
                <w:sz w:val="20"/>
                <w:szCs w:val="20"/>
              </w:rPr>
              <w:t>1.9.1.2.</w:t>
            </w:r>
          </w:p>
        </w:tc>
        <w:tc>
          <w:tcPr>
            <w:tcW w:w="3147" w:type="dxa"/>
            <w:shd w:val="clear" w:color="auto" w:fill="auto"/>
            <w:tcMar>
              <w:top w:w="85" w:type="dxa"/>
            </w:tcMar>
            <w:vAlign w:val="center"/>
          </w:tcPr>
          <w:p w14:paraId="5C7EC892" w14:textId="3043AFA3" w:rsidR="00511D9B" w:rsidRPr="00B308EB" w:rsidRDefault="001610A2" w:rsidP="00617806">
            <w:pPr>
              <w:contextualSpacing/>
              <w:rPr>
                <w:rFonts w:ascii="Arial" w:hAnsi="Arial" w:cs="Arial"/>
                <w:sz w:val="20"/>
                <w:szCs w:val="20"/>
              </w:rPr>
            </w:pPr>
            <w:r w:rsidRPr="00B308EB">
              <w:rPr>
                <w:rFonts w:ascii="Arial" w:hAnsi="Arial" w:cs="Arial"/>
                <w:sz w:val="20"/>
                <w:szCs w:val="20"/>
              </w:rPr>
              <w:t>Járulékos tőkeinstrumentumok</w:t>
            </w:r>
          </w:p>
        </w:tc>
        <w:tc>
          <w:tcPr>
            <w:tcW w:w="4082" w:type="dxa"/>
            <w:shd w:val="clear" w:color="auto" w:fill="auto"/>
            <w:tcMar>
              <w:top w:w="85" w:type="dxa"/>
            </w:tcMar>
            <w:vAlign w:val="center"/>
          </w:tcPr>
          <w:p w14:paraId="06E16475" w14:textId="41C7F405" w:rsidR="00511D9B" w:rsidRPr="00B308EB" w:rsidRDefault="00E37EE4" w:rsidP="00B308EB">
            <w:pPr>
              <w:pStyle w:val="Default"/>
              <w:jc w:val="both"/>
              <w:rPr>
                <w:rFonts w:ascii="Arial" w:hAnsi="Arial" w:cs="Arial"/>
                <w:sz w:val="20"/>
                <w:szCs w:val="20"/>
              </w:rPr>
            </w:pPr>
            <w:r>
              <w:rPr>
                <w:rFonts w:ascii="Arial" w:hAnsi="Arial" w:cs="Arial"/>
                <w:sz w:val="20"/>
                <w:szCs w:val="20"/>
              </w:rPr>
              <w:t>T</w:t>
            </w:r>
            <w:r w:rsidR="00975916" w:rsidRPr="00B308EB">
              <w:rPr>
                <w:rFonts w:ascii="Arial" w:hAnsi="Arial" w:cs="Arial"/>
                <w:sz w:val="20"/>
                <w:szCs w:val="20"/>
              </w:rPr>
              <w:t>őkeinstrumentumokat</w:t>
            </w:r>
            <w:r w:rsidR="00AC4BF4">
              <w:rPr>
                <w:rFonts w:ascii="Arial" w:hAnsi="Arial" w:cs="Arial"/>
                <w:sz w:val="20"/>
                <w:szCs w:val="20"/>
              </w:rPr>
              <w:t xml:space="preserve"> és </w:t>
            </w:r>
            <w:r w:rsidR="00975916" w:rsidRPr="00B308EB">
              <w:rPr>
                <w:rFonts w:ascii="Arial" w:hAnsi="Arial" w:cs="Arial"/>
                <w:sz w:val="20"/>
                <w:szCs w:val="20"/>
              </w:rPr>
              <w:t>alárendelt kölcsönök</w:t>
            </w:r>
            <w:r>
              <w:rPr>
                <w:rFonts w:ascii="Arial" w:hAnsi="Arial" w:cs="Arial"/>
                <w:sz w:val="20"/>
                <w:szCs w:val="20"/>
              </w:rPr>
              <w:t xml:space="preserve">, </w:t>
            </w:r>
            <w:r w:rsidR="00975916" w:rsidRPr="00B308EB">
              <w:rPr>
                <w:rFonts w:ascii="Arial" w:hAnsi="Arial" w:cs="Arial"/>
                <w:sz w:val="20"/>
                <w:szCs w:val="20"/>
              </w:rPr>
              <w:t>amelyek megfelelnek a</w:t>
            </w:r>
            <w:r w:rsidR="0009570C">
              <w:rPr>
                <w:rFonts w:ascii="Arial" w:hAnsi="Arial" w:cs="Arial"/>
                <w:sz w:val="20"/>
                <w:szCs w:val="20"/>
              </w:rPr>
              <w:t xml:space="preserve"> CRR </w:t>
            </w:r>
            <w:r w:rsidR="00975916" w:rsidRPr="00B308EB">
              <w:rPr>
                <w:rFonts w:ascii="Arial" w:hAnsi="Arial" w:cs="Arial"/>
                <w:sz w:val="20"/>
                <w:szCs w:val="20"/>
              </w:rPr>
              <w:t xml:space="preserve">63. cikkében megállapított feltételeknek. </w:t>
            </w:r>
          </w:p>
        </w:tc>
      </w:tr>
      <w:tr w:rsidR="00511D9B" w:rsidRPr="00191B6F" w14:paraId="3BC54376" w14:textId="77777777" w:rsidTr="00D23413">
        <w:tc>
          <w:tcPr>
            <w:tcW w:w="959" w:type="dxa"/>
            <w:shd w:val="clear" w:color="auto" w:fill="auto"/>
            <w:tcMar>
              <w:top w:w="85" w:type="dxa"/>
            </w:tcMar>
            <w:vAlign w:val="center"/>
          </w:tcPr>
          <w:p w14:paraId="5970FC3D" w14:textId="30AA94CC" w:rsidR="001610A2" w:rsidRPr="00191B6F" w:rsidRDefault="001610A2" w:rsidP="00CA0744">
            <w:pPr>
              <w:contextualSpacing/>
              <w:rPr>
                <w:rFonts w:ascii="Arial" w:hAnsi="Arial" w:cs="Arial"/>
                <w:sz w:val="20"/>
                <w:szCs w:val="20"/>
              </w:rPr>
            </w:pPr>
            <w:r>
              <w:rPr>
                <w:rFonts w:ascii="Arial" w:hAnsi="Arial" w:cs="Arial"/>
                <w:sz w:val="20"/>
                <w:szCs w:val="20"/>
              </w:rPr>
              <w:t>193</w:t>
            </w:r>
          </w:p>
        </w:tc>
        <w:tc>
          <w:tcPr>
            <w:tcW w:w="1276" w:type="dxa"/>
            <w:vAlign w:val="center"/>
          </w:tcPr>
          <w:p w14:paraId="5E898640" w14:textId="7946E331" w:rsidR="00511D9B" w:rsidRPr="00222297" w:rsidRDefault="001610A2" w:rsidP="00617806">
            <w:pPr>
              <w:contextualSpacing/>
              <w:rPr>
                <w:rFonts w:ascii="Arial" w:hAnsi="Arial" w:cs="Arial"/>
                <w:sz w:val="20"/>
                <w:szCs w:val="20"/>
              </w:rPr>
            </w:pPr>
            <w:r>
              <w:rPr>
                <w:rFonts w:ascii="Arial" w:hAnsi="Arial" w:cs="Arial"/>
                <w:sz w:val="20"/>
                <w:szCs w:val="20"/>
              </w:rPr>
              <w:t>1.9.1.3.</w:t>
            </w:r>
          </w:p>
        </w:tc>
        <w:tc>
          <w:tcPr>
            <w:tcW w:w="3147" w:type="dxa"/>
            <w:shd w:val="clear" w:color="auto" w:fill="auto"/>
            <w:tcMar>
              <w:top w:w="85" w:type="dxa"/>
            </w:tcMar>
            <w:vAlign w:val="center"/>
          </w:tcPr>
          <w:p w14:paraId="5CF03A23" w14:textId="2620F746" w:rsidR="00511D9B" w:rsidRDefault="00705E5F" w:rsidP="00E914E6">
            <w:pPr>
              <w:contextualSpacing/>
              <w:jc w:val="both"/>
              <w:rPr>
                <w:rFonts w:ascii="Arial" w:hAnsi="Arial" w:cs="Arial"/>
                <w:sz w:val="20"/>
                <w:szCs w:val="20"/>
              </w:rPr>
            </w:pPr>
            <w:r>
              <w:rPr>
                <w:rFonts w:ascii="Arial" w:hAnsi="Arial" w:cs="Arial"/>
                <w:sz w:val="20"/>
                <w:szCs w:val="20"/>
              </w:rPr>
              <w:t xml:space="preserve">Alárendelt </w:t>
            </w:r>
            <w:r w:rsidR="001610A2" w:rsidRPr="001610A2">
              <w:rPr>
                <w:rFonts w:ascii="Arial" w:hAnsi="Arial" w:cs="Arial"/>
                <w:sz w:val="20"/>
                <w:szCs w:val="20"/>
              </w:rPr>
              <w:t>instrumentumok</w:t>
            </w:r>
            <w:r>
              <w:rPr>
                <w:rFonts w:ascii="Arial" w:hAnsi="Arial" w:cs="Arial"/>
                <w:sz w:val="20"/>
                <w:szCs w:val="20"/>
              </w:rPr>
              <w:t xml:space="preserve"> (már nem T1 vagy T2)</w:t>
            </w:r>
          </w:p>
        </w:tc>
        <w:tc>
          <w:tcPr>
            <w:tcW w:w="4082" w:type="dxa"/>
            <w:shd w:val="clear" w:color="auto" w:fill="auto"/>
            <w:tcMar>
              <w:top w:w="85" w:type="dxa"/>
            </w:tcMar>
            <w:vAlign w:val="center"/>
          </w:tcPr>
          <w:p w14:paraId="06F33858" w14:textId="0EB92671" w:rsidR="00511D9B" w:rsidRPr="00130484" w:rsidRDefault="00E37EE4" w:rsidP="00617806">
            <w:pPr>
              <w:contextualSpacing/>
              <w:jc w:val="both"/>
              <w:rPr>
                <w:rFonts w:ascii="Arial" w:hAnsi="Arial" w:cs="Arial"/>
                <w:bCs/>
                <w:sz w:val="20"/>
                <w:szCs w:val="20"/>
              </w:rPr>
            </w:pPr>
            <w:r>
              <w:rPr>
                <w:rFonts w:ascii="Arial" w:hAnsi="Arial" w:cs="Arial"/>
                <w:bCs/>
                <w:sz w:val="20"/>
                <w:szCs w:val="20"/>
              </w:rPr>
              <w:t>K</w:t>
            </w:r>
            <w:r w:rsidR="00FC47FF" w:rsidRPr="00B308EB">
              <w:rPr>
                <w:rFonts w:ascii="Arial" w:hAnsi="Arial" w:cs="Arial"/>
                <w:bCs/>
                <w:sz w:val="20"/>
                <w:szCs w:val="20"/>
              </w:rPr>
              <w:t>ötelezettsége</w:t>
            </w:r>
            <w:r>
              <w:rPr>
                <w:rFonts w:ascii="Arial" w:hAnsi="Arial" w:cs="Arial"/>
                <w:bCs/>
                <w:sz w:val="20"/>
                <w:szCs w:val="20"/>
              </w:rPr>
              <w:t>k,</w:t>
            </w:r>
            <w:r w:rsidR="00FC47FF" w:rsidRPr="00B308EB">
              <w:rPr>
                <w:rFonts w:ascii="Arial" w:hAnsi="Arial" w:cs="Arial"/>
                <w:bCs/>
                <w:sz w:val="20"/>
                <w:szCs w:val="20"/>
              </w:rPr>
              <w:t xml:space="preserve"> amelyeket a </w:t>
            </w:r>
            <w:r w:rsidR="00342115" w:rsidRPr="00B308EB">
              <w:rPr>
                <w:rFonts w:ascii="Arial" w:hAnsi="Arial" w:cs="Arial"/>
                <w:sz w:val="20"/>
                <w:szCs w:val="20"/>
                <w:lang w:val="en"/>
              </w:rPr>
              <w:t xml:space="preserve">csődeljárásról és felszámolási eljárásról szóló törvény </w:t>
            </w:r>
            <w:r w:rsidR="00FC47FF" w:rsidRPr="00B308EB">
              <w:rPr>
                <w:rFonts w:ascii="Arial" w:hAnsi="Arial" w:cs="Arial"/>
                <w:bCs/>
                <w:sz w:val="20"/>
                <w:szCs w:val="20"/>
              </w:rPr>
              <w:t xml:space="preserve">alapján csak azt követően fizetnek vissza, miután a rendes (nem előresorolt) hitelezők és az előresorolt, nem elsőbbségi hitelezők valamennyi osztályát teljes egészében kielégítették. Ez magában foglalja a szerződés vagy a jogszabály alapján alárendelt kötelezettségeket is. Ebbe a kategóriába csak olyan alárendelt instrumentumok tartoznak, amelyek nem minősülnek szavatolótőkének. Ez a sor emellett magában foglalja az alárendelt kötelezettségek azon részét is, amely elvben szavatolótőkének minősül, de nem tartozik a szavatolótőkébe az olyan </w:t>
            </w:r>
            <w:r w:rsidR="00FC47FF" w:rsidRPr="003A5E87">
              <w:rPr>
                <w:rFonts w:ascii="Arial" w:hAnsi="Arial" w:cs="Arial"/>
                <w:bCs/>
                <w:sz w:val="20"/>
                <w:szCs w:val="20"/>
              </w:rPr>
              <w:t>kivezetési rendelkezések</w:t>
            </w:r>
            <w:r w:rsidR="00130484" w:rsidRPr="003A5E87">
              <w:rPr>
                <w:rFonts w:ascii="Arial" w:hAnsi="Arial" w:cs="Arial"/>
                <w:bCs/>
                <w:sz w:val="20"/>
                <w:szCs w:val="20"/>
              </w:rPr>
              <w:t xml:space="preserve"> mint, amit </w:t>
            </w:r>
            <w:r w:rsidR="00FC47FF" w:rsidRPr="003A5E87">
              <w:rPr>
                <w:rFonts w:ascii="Arial" w:hAnsi="Arial" w:cs="Arial"/>
                <w:bCs/>
                <w:sz w:val="20"/>
                <w:szCs w:val="20"/>
              </w:rPr>
              <w:t xml:space="preserve">például </w:t>
            </w:r>
            <w:r w:rsidR="001A6340" w:rsidRPr="003A5E87">
              <w:rPr>
                <w:rFonts w:ascii="Arial" w:hAnsi="Arial" w:cs="Arial"/>
                <w:bCs/>
                <w:sz w:val="20"/>
                <w:szCs w:val="20"/>
              </w:rPr>
              <w:t xml:space="preserve">a CRR </w:t>
            </w:r>
            <w:r w:rsidR="00FC47FF" w:rsidRPr="00FF5B54">
              <w:rPr>
                <w:rFonts w:ascii="Arial" w:hAnsi="Arial" w:cs="Arial"/>
                <w:bCs/>
                <w:sz w:val="20"/>
                <w:szCs w:val="20"/>
              </w:rPr>
              <w:t xml:space="preserve">64. cikke (hátralévő futamidő) vagy </w:t>
            </w:r>
            <w:r w:rsidR="0009570C" w:rsidRPr="00FF5B54">
              <w:rPr>
                <w:rFonts w:ascii="Arial" w:hAnsi="Arial" w:cs="Arial"/>
                <w:bCs/>
                <w:sz w:val="20"/>
                <w:szCs w:val="20"/>
              </w:rPr>
              <w:t xml:space="preserve">a CRR </w:t>
            </w:r>
            <w:r w:rsidR="00130484" w:rsidRPr="00E10BFB">
              <w:rPr>
                <w:rFonts w:ascii="Arial" w:hAnsi="Arial" w:cs="Arial"/>
                <w:bCs/>
                <w:sz w:val="20"/>
                <w:szCs w:val="20"/>
              </w:rPr>
              <w:t xml:space="preserve">483. cikke </w:t>
            </w:r>
            <w:r w:rsidR="00130484" w:rsidRPr="003A5E87">
              <w:rPr>
                <w:rFonts w:ascii="Arial" w:hAnsi="Arial" w:cs="Arial"/>
                <w:sz w:val="20"/>
                <w:szCs w:val="20"/>
              </w:rPr>
              <w:t>(szerzett jogok) ír elő.</w:t>
            </w:r>
            <w:r w:rsidR="00130484">
              <w:rPr>
                <w:sz w:val="22"/>
                <w:szCs w:val="22"/>
              </w:rPr>
              <w:t xml:space="preserve"> </w:t>
            </w:r>
          </w:p>
        </w:tc>
      </w:tr>
      <w:tr w:rsidR="00511D9B" w:rsidRPr="00191B6F" w14:paraId="26D5AC89" w14:textId="77777777" w:rsidTr="00D23413">
        <w:tc>
          <w:tcPr>
            <w:tcW w:w="959" w:type="dxa"/>
            <w:shd w:val="clear" w:color="auto" w:fill="auto"/>
            <w:tcMar>
              <w:top w:w="85" w:type="dxa"/>
            </w:tcMar>
            <w:vAlign w:val="center"/>
          </w:tcPr>
          <w:p w14:paraId="19B9E840" w14:textId="1C71ABF2" w:rsidR="00511D9B" w:rsidRPr="00191B6F" w:rsidRDefault="001610A2" w:rsidP="00617806">
            <w:pPr>
              <w:contextualSpacing/>
              <w:rPr>
                <w:rFonts w:ascii="Arial" w:hAnsi="Arial" w:cs="Arial"/>
                <w:sz w:val="20"/>
                <w:szCs w:val="20"/>
              </w:rPr>
            </w:pPr>
            <w:r>
              <w:rPr>
                <w:rFonts w:ascii="Arial" w:hAnsi="Arial" w:cs="Arial"/>
                <w:sz w:val="20"/>
                <w:szCs w:val="20"/>
              </w:rPr>
              <w:t>194</w:t>
            </w:r>
          </w:p>
        </w:tc>
        <w:tc>
          <w:tcPr>
            <w:tcW w:w="1276" w:type="dxa"/>
            <w:vAlign w:val="center"/>
          </w:tcPr>
          <w:p w14:paraId="0C0FA5B0" w14:textId="55FFC35C" w:rsidR="00511D9B" w:rsidRPr="00222297" w:rsidRDefault="001610A2" w:rsidP="00617806">
            <w:pPr>
              <w:contextualSpacing/>
              <w:rPr>
                <w:rFonts w:ascii="Arial" w:hAnsi="Arial" w:cs="Arial"/>
                <w:sz w:val="20"/>
                <w:szCs w:val="20"/>
              </w:rPr>
            </w:pPr>
            <w:r>
              <w:rPr>
                <w:rFonts w:ascii="Arial" w:hAnsi="Arial" w:cs="Arial"/>
                <w:sz w:val="20"/>
                <w:szCs w:val="20"/>
              </w:rPr>
              <w:t>1.9.1.4.</w:t>
            </w:r>
          </w:p>
        </w:tc>
        <w:tc>
          <w:tcPr>
            <w:tcW w:w="3147" w:type="dxa"/>
            <w:shd w:val="clear" w:color="auto" w:fill="auto"/>
            <w:tcMar>
              <w:top w:w="85" w:type="dxa"/>
            </w:tcMar>
            <w:vAlign w:val="center"/>
          </w:tcPr>
          <w:p w14:paraId="4F53FA86" w14:textId="2FB5CAD8" w:rsidR="00511D9B" w:rsidRPr="00B308EB" w:rsidRDefault="001610A2" w:rsidP="00617806">
            <w:pPr>
              <w:contextualSpacing/>
              <w:rPr>
                <w:rFonts w:ascii="Arial" w:hAnsi="Arial" w:cs="Arial"/>
                <w:sz w:val="20"/>
                <w:szCs w:val="20"/>
              </w:rPr>
            </w:pPr>
            <w:r w:rsidRPr="00B308EB">
              <w:rPr>
                <w:rFonts w:ascii="Arial" w:hAnsi="Arial" w:cs="Arial"/>
                <w:sz w:val="20"/>
                <w:szCs w:val="20"/>
              </w:rPr>
              <w:t>Előresorolt, nem elsőbbségi</w:t>
            </w:r>
          </w:p>
        </w:tc>
        <w:tc>
          <w:tcPr>
            <w:tcW w:w="4082" w:type="dxa"/>
            <w:shd w:val="clear" w:color="auto" w:fill="auto"/>
            <w:tcMar>
              <w:top w:w="85" w:type="dxa"/>
            </w:tcMar>
            <w:vAlign w:val="center"/>
          </w:tcPr>
          <w:p w14:paraId="50CE7DE8" w14:textId="77777777" w:rsidR="008B6DAB" w:rsidRPr="00B308EB" w:rsidRDefault="008B6DAB" w:rsidP="00C07C1B">
            <w:pPr>
              <w:jc w:val="both"/>
              <w:rPr>
                <w:rFonts w:ascii="Arial" w:hAnsi="Arial" w:cs="Arial"/>
                <w:bCs/>
                <w:sz w:val="20"/>
                <w:szCs w:val="20"/>
              </w:rPr>
            </w:pPr>
            <w:r w:rsidRPr="00B308EB">
              <w:rPr>
                <w:rFonts w:ascii="Arial" w:hAnsi="Arial" w:cs="Arial"/>
                <w:bCs/>
                <w:sz w:val="20"/>
                <w:szCs w:val="20"/>
              </w:rPr>
              <w:t>Ez a tétel a következő kötelezettségeket tartalmazza:</w:t>
            </w:r>
          </w:p>
          <w:p w14:paraId="1CC0FB6F" w14:textId="0A9EA8BA" w:rsidR="008B6DAB" w:rsidRPr="00C07C1B" w:rsidRDefault="00130484" w:rsidP="00C07C1B">
            <w:pPr>
              <w:jc w:val="both"/>
              <w:rPr>
                <w:rFonts w:ascii="Arial" w:hAnsi="Arial" w:cs="Arial"/>
                <w:bCs/>
                <w:sz w:val="20"/>
                <w:szCs w:val="20"/>
              </w:rPr>
            </w:pPr>
            <w:r>
              <w:rPr>
                <w:rFonts w:ascii="Arial" w:hAnsi="Arial" w:cs="Arial"/>
                <w:bCs/>
                <w:sz w:val="20"/>
                <w:szCs w:val="20"/>
              </w:rPr>
              <w:t xml:space="preserve">- </w:t>
            </w:r>
            <w:r w:rsidR="008B6DAB" w:rsidRPr="00C07C1B">
              <w:rPr>
                <w:rFonts w:ascii="Arial" w:hAnsi="Arial" w:cs="Arial"/>
                <w:bCs/>
                <w:sz w:val="20"/>
                <w:szCs w:val="20"/>
              </w:rPr>
              <w:t xml:space="preserve">a 2014/59/EU irányelv 108. cikk </w:t>
            </w:r>
            <w:r w:rsidR="00837C5D">
              <w:rPr>
                <w:rFonts w:ascii="Arial" w:hAnsi="Arial" w:cs="Arial"/>
                <w:bCs/>
                <w:sz w:val="20"/>
                <w:szCs w:val="20"/>
              </w:rPr>
              <w:t>(</w:t>
            </w:r>
            <w:r w:rsidR="008B6DAB" w:rsidRPr="00C07C1B">
              <w:rPr>
                <w:rFonts w:ascii="Arial" w:hAnsi="Arial" w:cs="Arial"/>
                <w:bCs/>
                <w:sz w:val="20"/>
                <w:szCs w:val="20"/>
              </w:rPr>
              <w:t>2</w:t>
            </w:r>
            <w:r w:rsidR="00837C5D">
              <w:rPr>
                <w:rFonts w:ascii="Arial" w:hAnsi="Arial" w:cs="Arial"/>
                <w:bCs/>
                <w:sz w:val="20"/>
                <w:szCs w:val="20"/>
              </w:rPr>
              <w:t>)</w:t>
            </w:r>
            <w:r w:rsidR="002C224E">
              <w:rPr>
                <w:rFonts w:ascii="Arial" w:hAnsi="Arial" w:cs="Arial"/>
                <w:bCs/>
                <w:sz w:val="20"/>
                <w:szCs w:val="20"/>
              </w:rPr>
              <w:t xml:space="preserve"> és</w:t>
            </w:r>
            <w:r w:rsidR="008B6DAB" w:rsidRPr="00C07C1B">
              <w:rPr>
                <w:rFonts w:ascii="Arial" w:hAnsi="Arial" w:cs="Arial"/>
                <w:bCs/>
                <w:sz w:val="20"/>
                <w:szCs w:val="20"/>
              </w:rPr>
              <w:t xml:space="preserve"> </w:t>
            </w:r>
            <w:r w:rsidR="00837C5D">
              <w:rPr>
                <w:rFonts w:ascii="Arial" w:hAnsi="Arial" w:cs="Arial"/>
                <w:bCs/>
                <w:sz w:val="20"/>
                <w:szCs w:val="20"/>
              </w:rPr>
              <w:t>(</w:t>
            </w:r>
            <w:r w:rsidR="008B6DAB" w:rsidRPr="00C07C1B">
              <w:rPr>
                <w:rFonts w:ascii="Arial" w:hAnsi="Arial" w:cs="Arial"/>
                <w:bCs/>
                <w:sz w:val="20"/>
                <w:szCs w:val="20"/>
              </w:rPr>
              <w:t>3</w:t>
            </w:r>
            <w:r w:rsidR="00837C5D">
              <w:rPr>
                <w:rFonts w:ascii="Arial" w:hAnsi="Arial" w:cs="Arial"/>
                <w:bCs/>
                <w:sz w:val="20"/>
                <w:szCs w:val="20"/>
              </w:rPr>
              <w:t>)</w:t>
            </w:r>
            <w:r w:rsidR="008B6DAB" w:rsidRPr="00C07C1B">
              <w:rPr>
                <w:rFonts w:ascii="Arial" w:hAnsi="Arial" w:cs="Arial"/>
                <w:bCs/>
                <w:sz w:val="20"/>
                <w:szCs w:val="20"/>
              </w:rPr>
              <w:t> bekezdésében meghatározott feltételeknek megfelelő hitelviszonyt megtestesítő instrumentumokból eredő fedezetlen követelések;</w:t>
            </w:r>
          </w:p>
          <w:p w14:paraId="68C0D95F" w14:textId="6017F491" w:rsidR="008B6DAB" w:rsidRPr="00C07C1B" w:rsidRDefault="00811EC6" w:rsidP="00C07C1B">
            <w:pPr>
              <w:jc w:val="both"/>
              <w:rPr>
                <w:rFonts w:ascii="Arial" w:hAnsi="Arial" w:cs="Arial"/>
                <w:bCs/>
                <w:sz w:val="20"/>
                <w:szCs w:val="20"/>
              </w:rPr>
            </w:pPr>
            <w:r>
              <w:rPr>
                <w:rFonts w:ascii="Arial" w:hAnsi="Arial" w:cs="Arial"/>
                <w:bCs/>
                <w:sz w:val="20"/>
                <w:szCs w:val="20"/>
              </w:rPr>
              <w:t xml:space="preserve">- </w:t>
            </w:r>
            <w:r w:rsidR="008B6DAB" w:rsidRPr="00C07C1B">
              <w:rPr>
                <w:rFonts w:ascii="Arial" w:hAnsi="Arial" w:cs="Arial"/>
                <w:bCs/>
                <w:sz w:val="20"/>
                <w:szCs w:val="20"/>
              </w:rPr>
              <w:t>a 2014/59/EU irányelv 108. cikk (5)</w:t>
            </w:r>
            <w:r w:rsidR="009D12FB">
              <w:rPr>
                <w:rFonts w:ascii="Arial" w:hAnsi="Arial" w:cs="Arial"/>
                <w:bCs/>
                <w:sz w:val="20"/>
                <w:szCs w:val="20"/>
              </w:rPr>
              <w:t xml:space="preserve"> </w:t>
            </w:r>
            <w:r w:rsidR="008B6DAB" w:rsidRPr="00C07C1B">
              <w:rPr>
                <w:rFonts w:ascii="Arial" w:hAnsi="Arial" w:cs="Arial"/>
                <w:bCs/>
                <w:sz w:val="20"/>
                <w:szCs w:val="20"/>
              </w:rPr>
              <w:t>bekezdés első albekezdés b) pontjában említett hitelviszonyt megtestesítő instrumentumokból eredő fedezetlen követelések;</w:t>
            </w:r>
          </w:p>
          <w:p w14:paraId="63BEB940" w14:textId="6DB4D473" w:rsidR="00511D9B" w:rsidRPr="00883E29" w:rsidRDefault="00811EC6" w:rsidP="00C07C1B">
            <w:pPr>
              <w:jc w:val="both"/>
              <w:rPr>
                <w:rFonts w:ascii="Arial" w:hAnsi="Arial" w:cs="Arial"/>
                <w:bCs/>
                <w:sz w:val="20"/>
                <w:szCs w:val="20"/>
              </w:rPr>
            </w:pPr>
            <w:r>
              <w:rPr>
                <w:rFonts w:ascii="Arial" w:hAnsi="Arial" w:cs="Arial"/>
                <w:bCs/>
                <w:sz w:val="20"/>
                <w:szCs w:val="20"/>
              </w:rPr>
              <w:t xml:space="preserve"> - </w:t>
            </w:r>
            <w:r w:rsidR="008B6DAB" w:rsidRPr="00C07C1B">
              <w:rPr>
                <w:rFonts w:ascii="Arial" w:hAnsi="Arial" w:cs="Arial"/>
                <w:bCs/>
                <w:sz w:val="20"/>
                <w:szCs w:val="20"/>
              </w:rPr>
              <w:t xml:space="preserve">a 2014/59/EU irányelv 108. cikk (7) bekezdésében említett, hitelviszonyt megtestesítő instrumentumokból eredő nem elsőbbségi, nem biztosított követelések között a leghátrább sorolt hitelviszonyt megtestesítő azon instrumentumok, amelyekre vonatkozóan egy tagállam az említett bekezdéssel összhangban úgy rendelkezett, hogy a 2014/59/EU irányelv 108. cikk </w:t>
            </w:r>
            <w:r w:rsidR="00E86A0D">
              <w:rPr>
                <w:rFonts w:ascii="Arial" w:hAnsi="Arial" w:cs="Arial"/>
                <w:bCs/>
                <w:sz w:val="20"/>
                <w:szCs w:val="20"/>
              </w:rPr>
              <w:t>(</w:t>
            </w:r>
            <w:r w:rsidR="008B6DAB" w:rsidRPr="00C07C1B">
              <w:rPr>
                <w:rFonts w:ascii="Arial" w:hAnsi="Arial" w:cs="Arial"/>
                <w:bCs/>
                <w:sz w:val="20"/>
                <w:szCs w:val="20"/>
              </w:rPr>
              <w:t>2</w:t>
            </w:r>
            <w:r w:rsidR="00E86A0D">
              <w:rPr>
                <w:rFonts w:ascii="Arial" w:hAnsi="Arial" w:cs="Arial"/>
                <w:bCs/>
                <w:sz w:val="20"/>
                <w:szCs w:val="20"/>
              </w:rPr>
              <w:t>)</w:t>
            </w:r>
            <w:r w:rsidR="00273024">
              <w:rPr>
                <w:rFonts w:ascii="Arial" w:hAnsi="Arial" w:cs="Arial"/>
                <w:bCs/>
                <w:sz w:val="20"/>
                <w:szCs w:val="20"/>
              </w:rPr>
              <w:t xml:space="preserve"> és</w:t>
            </w:r>
            <w:r w:rsidR="008B6DAB" w:rsidRPr="00C07C1B">
              <w:rPr>
                <w:rFonts w:ascii="Arial" w:hAnsi="Arial" w:cs="Arial"/>
                <w:bCs/>
                <w:sz w:val="20"/>
                <w:szCs w:val="20"/>
              </w:rPr>
              <w:t xml:space="preserve"> </w:t>
            </w:r>
            <w:r w:rsidR="00273024">
              <w:rPr>
                <w:rFonts w:ascii="Arial" w:hAnsi="Arial" w:cs="Arial"/>
                <w:bCs/>
                <w:sz w:val="20"/>
                <w:szCs w:val="20"/>
              </w:rPr>
              <w:t>(</w:t>
            </w:r>
            <w:r w:rsidR="008B6DAB" w:rsidRPr="00C07C1B">
              <w:rPr>
                <w:rFonts w:ascii="Arial" w:hAnsi="Arial" w:cs="Arial"/>
                <w:bCs/>
                <w:sz w:val="20"/>
                <w:szCs w:val="20"/>
              </w:rPr>
              <w:t>3</w:t>
            </w:r>
            <w:r w:rsidR="00273024">
              <w:rPr>
                <w:rFonts w:ascii="Arial" w:hAnsi="Arial" w:cs="Arial"/>
                <w:bCs/>
                <w:sz w:val="20"/>
                <w:szCs w:val="20"/>
              </w:rPr>
              <w:t>)</w:t>
            </w:r>
            <w:r w:rsidR="008B6DAB" w:rsidRPr="00C07C1B">
              <w:rPr>
                <w:rFonts w:ascii="Arial" w:hAnsi="Arial" w:cs="Arial"/>
                <w:bCs/>
                <w:sz w:val="20"/>
                <w:szCs w:val="20"/>
              </w:rPr>
              <w:t xml:space="preserve"> bekezdésében foglalt </w:t>
            </w:r>
            <w:r w:rsidR="008B6DAB" w:rsidRPr="00C07C1B">
              <w:rPr>
                <w:rFonts w:ascii="Arial" w:hAnsi="Arial" w:cs="Arial"/>
                <w:bCs/>
                <w:sz w:val="20"/>
                <w:szCs w:val="20"/>
              </w:rPr>
              <w:lastRenderedPageBreak/>
              <w:t>feltételeknek megfelelő követelésekkel azonos rangsorolásúak.</w:t>
            </w:r>
          </w:p>
        </w:tc>
      </w:tr>
      <w:tr w:rsidR="00511D9B" w:rsidRPr="00191B6F" w14:paraId="32656004" w14:textId="77777777" w:rsidTr="00D23413">
        <w:tc>
          <w:tcPr>
            <w:tcW w:w="959" w:type="dxa"/>
            <w:shd w:val="clear" w:color="auto" w:fill="auto"/>
            <w:tcMar>
              <w:top w:w="85" w:type="dxa"/>
            </w:tcMar>
            <w:vAlign w:val="center"/>
          </w:tcPr>
          <w:p w14:paraId="6E48C6E7" w14:textId="35E06AE1" w:rsidR="00511D9B" w:rsidRPr="00191B6F" w:rsidRDefault="001610A2" w:rsidP="00617806">
            <w:pPr>
              <w:contextualSpacing/>
              <w:rPr>
                <w:rFonts w:ascii="Arial" w:hAnsi="Arial" w:cs="Arial"/>
                <w:sz w:val="20"/>
                <w:szCs w:val="20"/>
              </w:rPr>
            </w:pPr>
            <w:r>
              <w:rPr>
                <w:rFonts w:ascii="Arial" w:hAnsi="Arial" w:cs="Arial"/>
                <w:sz w:val="20"/>
                <w:szCs w:val="20"/>
              </w:rPr>
              <w:lastRenderedPageBreak/>
              <w:t>195</w:t>
            </w:r>
          </w:p>
        </w:tc>
        <w:tc>
          <w:tcPr>
            <w:tcW w:w="1276" w:type="dxa"/>
            <w:vAlign w:val="center"/>
          </w:tcPr>
          <w:p w14:paraId="79038287" w14:textId="3D5CC8E6" w:rsidR="00511D9B" w:rsidRPr="00222297" w:rsidRDefault="001610A2" w:rsidP="00617806">
            <w:pPr>
              <w:contextualSpacing/>
              <w:rPr>
                <w:rFonts w:ascii="Arial" w:hAnsi="Arial" w:cs="Arial"/>
                <w:sz w:val="20"/>
                <w:szCs w:val="20"/>
              </w:rPr>
            </w:pPr>
            <w:r>
              <w:rPr>
                <w:rFonts w:ascii="Arial" w:hAnsi="Arial" w:cs="Arial"/>
                <w:sz w:val="20"/>
                <w:szCs w:val="20"/>
              </w:rPr>
              <w:t>1.9.1.5.</w:t>
            </w:r>
          </w:p>
        </w:tc>
        <w:tc>
          <w:tcPr>
            <w:tcW w:w="3147" w:type="dxa"/>
            <w:shd w:val="clear" w:color="auto" w:fill="auto"/>
            <w:tcMar>
              <w:top w:w="85" w:type="dxa"/>
            </w:tcMar>
            <w:vAlign w:val="center"/>
          </w:tcPr>
          <w:p w14:paraId="16B36391" w14:textId="6C339702" w:rsidR="00511D9B" w:rsidRDefault="001610A2" w:rsidP="00617806">
            <w:pPr>
              <w:contextualSpacing/>
              <w:rPr>
                <w:rFonts w:ascii="Arial" w:hAnsi="Arial" w:cs="Arial"/>
                <w:sz w:val="20"/>
                <w:szCs w:val="20"/>
              </w:rPr>
            </w:pPr>
            <w:r w:rsidRPr="001610A2">
              <w:rPr>
                <w:rFonts w:ascii="Arial" w:hAnsi="Arial" w:cs="Arial"/>
                <w:sz w:val="20"/>
                <w:szCs w:val="20"/>
              </w:rPr>
              <w:t>Előresorolt fedezetlen (HoldCo)</w:t>
            </w:r>
          </w:p>
        </w:tc>
        <w:tc>
          <w:tcPr>
            <w:tcW w:w="4082" w:type="dxa"/>
            <w:shd w:val="clear" w:color="auto" w:fill="auto"/>
            <w:tcMar>
              <w:top w:w="85" w:type="dxa"/>
            </w:tcMar>
            <w:vAlign w:val="center"/>
          </w:tcPr>
          <w:p w14:paraId="00F3E213" w14:textId="77777777" w:rsidR="008B6DAB" w:rsidRPr="00B308EB" w:rsidRDefault="008B6DAB" w:rsidP="00883E29">
            <w:pPr>
              <w:jc w:val="both"/>
              <w:rPr>
                <w:rFonts w:ascii="Arial" w:hAnsi="Arial" w:cs="Arial"/>
                <w:color w:val="1F497D"/>
                <w:sz w:val="20"/>
                <w:szCs w:val="20"/>
              </w:rPr>
            </w:pPr>
            <w:r w:rsidRPr="00B308EB">
              <w:rPr>
                <w:rFonts w:ascii="Arial" w:hAnsi="Arial" w:cs="Arial"/>
                <w:sz w:val="20"/>
                <w:szCs w:val="20"/>
              </w:rPr>
              <w:t>Holdingtársaságok esetében ebben a kategóriában kell feltüntetni a nem alárendelt hitelviszonyt megtestesítő értékpapírokat (strukturális alárendelés).</w:t>
            </w:r>
          </w:p>
          <w:p w14:paraId="7AFF6227" w14:textId="1055DDCF" w:rsidR="00511D9B" w:rsidRPr="00B308EB" w:rsidRDefault="008B6DAB" w:rsidP="008B61A2">
            <w:pPr>
              <w:contextualSpacing/>
              <w:jc w:val="both"/>
              <w:rPr>
                <w:rFonts w:ascii="Arial" w:hAnsi="Arial" w:cs="Arial"/>
                <w:sz w:val="20"/>
                <w:szCs w:val="20"/>
              </w:rPr>
            </w:pPr>
            <w:r w:rsidRPr="00B308EB">
              <w:rPr>
                <w:rFonts w:ascii="Arial" w:hAnsi="Arial" w:cs="Arial"/>
                <w:bCs/>
                <w:sz w:val="20"/>
                <w:szCs w:val="20"/>
              </w:rPr>
              <w:t>Ez a tétel egy olyan szanálandó szervezet által kibocsátott közönséges, fedezetlen instrumentumokat tartalmaz, amelyek mérlegében nem szerepelnek a</w:t>
            </w:r>
            <w:r w:rsidR="0009570C">
              <w:rPr>
                <w:rFonts w:ascii="Arial" w:hAnsi="Arial" w:cs="Arial"/>
                <w:bCs/>
                <w:sz w:val="20"/>
                <w:szCs w:val="20"/>
              </w:rPr>
              <w:t xml:space="preserve"> CRR</w:t>
            </w:r>
            <w:r w:rsidR="00160040">
              <w:rPr>
                <w:rFonts w:ascii="Arial" w:hAnsi="Arial" w:cs="Arial"/>
                <w:bCs/>
                <w:sz w:val="20"/>
                <w:szCs w:val="20"/>
              </w:rPr>
              <w:t xml:space="preserve"> </w:t>
            </w:r>
            <w:r w:rsidRPr="00B308EB">
              <w:rPr>
                <w:rFonts w:ascii="Arial" w:hAnsi="Arial" w:cs="Arial"/>
                <w:bCs/>
                <w:sz w:val="20"/>
                <w:szCs w:val="20"/>
              </w:rPr>
              <w:t>72a. cikk (2)</w:t>
            </w:r>
            <w:r w:rsidR="00160040">
              <w:rPr>
                <w:rFonts w:ascii="Arial" w:hAnsi="Arial" w:cs="Arial"/>
                <w:bCs/>
                <w:sz w:val="20"/>
                <w:szCs w:val="20"/>
              </w:rPr>
              <w:t xml:space="preserve"> </w:t>
            </w:r>
            <w:r w:rsidRPr="00B308EB">
              <w:rPr>
                <w:rFonts w:ascii="Arial" w:hAnsi="Arial" w:cs="Arial"/>
                <w:bCs/>
                <w:sz w:val="20"/>
                <w:szCs w:val="20"/>
              </w:rPr>
              <w:t xml:space="preserve">bekezdésében említett kizárt kötelezettségek, amelyek </w:t>
            </w:r>
            <w:r w:rsidRPr="00883E29">
              <w:rPr>
                <w:rFonts w:ascii="Arial" w:hAnsi="Arial" w:cs="Arial"/>
                <w:bCs/>
                <w:sz w:val="20"/>
                <w:szCs w:val="20"/>
              </w:rPr>
              <w:t>egyenrangúak</w:t>
            </w:r>
            <w:r w:rsidRPr="00B308EB">
              <w:rPr>
                <w:rFonts w:ascii="Arial" w:hAnsi="Arial" w:cs="Arial"/>
                <w:bCs/>
                <w:sz w:val="20"/>
                <w:szCs w:val="20"/>
              </w:rPr>
              <w:t xml:space="preserve"> az elfogadható kötelezettségeket megtestesítő instrumentumokkal, vagy hátrább soroltak azoknál.</w:t>
            </w:r>
          </w:p>
        </w:tc>
      </w:tr>
      <w:tr w:rsidR="00511D9B" w:rsidRPr="00191B6F" w14:paraId="00C9F546" w14:textId="77777777" w:rsidTr="003B5538">
        <w:trPr>
          <w:trHeight w:val="793"/>
        </w:trPr>
        <w:tc>
          <w:tcPr>
            <w:tcW w:w="959" w:type="dxa"/>
            <w:shd w:val="clear" w:color="auto" w:fill="auto"/>
            <w:tcMar>
              <w:top w:w="85" w:type="dxa"/>
            </w:tcMar>
            <w:vAlign w:val="center"/>
          </w:tcPr>
          <w:p w14:paraId="76213804" w14:textId="36B1969B" w:rsidR="00511D9B" w:rsidRPr="00191B6F" w:rsidRDefault="001610A2" w:rsidP="00617806">
            <w:pPr>
              <w:contextualSpacing/>
              <w:rPr>
                <w:rFonts w:ascii="Arial" w:hAnsi="Arial" w:cs="Arial"/>
                <w:sz w:val="20"/>
                <w:szCs w:val="20"/>
              </w:rPr>
            </w:pPr>
            <w:r>
              <w:rPr>
                <w:rFonts w:ascii="Arial" w:hAnsi="Arial" w:cs="Arial"/>
                <w:sz w:val="20"/>
                <w:szCs w:val="20"/>
              </w:rPr>
              <w:t>196</w:t>
            </w:r>
          </w:p>
        </w:tc>
        <w:tc>
          <w:tcPr>
            <w:tcW w:w="1276" w:type="dxa"/>
            <w:vAlign w:val="center"/>
          </w:tcPr>
          <w:p w14:paraId="736EE4FD" w14:textId="4BD8478A" w:rsidR="00511D9B" w:rsidRPr="00222297" w:rsidRDefault="001610A2" w:rsidP="00617806">
            <w:pPr>
              <w:contextualSpacing/>
              <w:rPr>
                <w:rFonts w:ascii="Arial" w:hAnsi="Arial" w:cs="Arial"/>
                <w:sz w:val="20"/>
                <w:szCs w:val="20"/>
              </w:rPr>
            </w:pPr>
            <w:r>
              <w:rPr>
                <w:rFonts w:ascii="Arial" w:hAnsi="Arial" w:cs="Arial"/>
                <w:sz w:val="20"/>
                <w:szCs w:val="20"/>
              </w:rPr>
              <w:t>1.9.1.6.</w:t>
            </w:r>
          </w:p>
        </w:tc>
        <w:tc>
          <w:tcPr>
            <w:tcW w:w="3147" w:type="dxa"/>
            <w:shd w:val="clear" w:color="auto" w:fill="auto"/>
            <w:tcMar>
              <w:top w:w="85" w:type="dxa"/>
            </w:tcMar>
            <w:vAlign w:val="center"/>
          </w:tcPr>
          <w:p w14:paraId="0053C1B7" w14:textId="12352011" w:rsidR="00511D9B" w:rsidRDefault="000A2582" w:rsidP="00617806">
            <w:pPr>
              <w:contextualSpacing/>
              <w:rPr>
                <w:rFonts w:ascii="Arial" w:hAnsi="Arial" w:cs="Arial"/>
                <w:sz w:val="20"/>
                <w:szCs w:val="20"/>
              </w:rPr>
            </w:pPr>
            <w:r>
              <w:rPr>
                <w:rFonts w:ascii="Arial" w:hAnsi="Arial" w:cs="Arial"/>
                <w:sz w:val="20"/>
                <w:szCs w:val="20"/>
              </w:rPr>
              <w:t>Egyéb</w:t>
            </w:r>
            <w:r w:rsidR="001610A2" w:rsidRPr="001610A2">
              <w:rPr>
                <w:rFonts w:ascii="Arial" w:hAnsi="Arial" w:cs="Arial"/>
                <w:sz w:val="20"/>
                <w:szCs w:val="20"/>
              </w:rPr>
              <w:t xml:space="preserve"> hosszú lejáratú, fedezetlen instrumentumok</w:t>
            </w:r>
          </w:p>
        </w:tc>
        <w:tc>
          <w:tcPr>
            <w:tcW w:w="4082" w:type="dxa"/>
            <w:shd w:val="clear" w:color="auto" w:fill="auto"/>
            <w:tcMar>
              <w:top w:w="85" w:type="dxa"/>
            </w:tcMar>
            <w:vAlign w:val="center"/>
          </w:tcPr>
          <w:p w14:paraId="283B2A13" w14:textId="7ACE4DCF" w:rsidR="00511D9B" w:rsidRPr="00B308EB" w:rsidRDefault="008B6DAB" w:rsidP="003B5538">
            <w:pPr>
              <w:contextualSpacing/>
              <w:rPr>
                <w:rFonts w:ascii="Arial" w:hAnsi="Arial" w:cs="Arial"/>
                <w:sz w:val="20"/>
                <w:szCs w:val="20"/>
              </w:rPr>
            </w:pPr>
            <w:r w:rsidRPr="00B308EB">
              <w:rPr>
                <w:rFonts w:ascii="Arial" w:hAnsi="Arial" w:cs="Arial"/>
                <w:bCs/>
                <w:sz w:val="20"/>
                <w:szCs w:val="20"/>
              </w:rPr>
              <w:t>Ez a tétel a 191–195.</w:t>
            </w:r>
            <w:r w:rsidR="00AF447C">
              <w:rPr>
                <w:rFonts w:ascii="Arial" w:hAnsi="Arial" w:cs="Arial"/>
                <w:bCs/>
                <w:sz w:val="20"/>
                <w:szCs w:val="20"/>
              </w:rPr>
              <w:t xml:space="preserve"> </w:t>
            </w:r>
            <w:r w:rsidRPr="00B308EB">
              <w:rPr>
                <w:rFonts w:ascii="Arial" w:hAnsi="Arial" w:cs="Arial"/>
                <w:bCs/>
                <w:sz w:val="20"/>
                <w:szCs w:val="20"/>
              </w:rPr>
              <w:t>sorban nem szereplő hosszú lejáratú, fedezetlen instrumentumokat tartalmazza</w:t>
            </w:r>
            <w:r w:rsidR="003B5538">
              <w:rPr>
                <w:rFonts w:ascii="Arial" w:hAnsi="Arial" w:cs="Arial"/>
                <w:bCs/>
                <w:sz w:val="20"/>
                <w:szCs w:val="20"/>
              </w:rPr>
              <w:t>.</w:t>
            </w:r>
          </w:p>
        </w:tc>
      </w:tr>
      <w:tr w:rsidR="00617806" w:rsidRPr="00191B6F" w14:paraId="70BFA4AC" w14:textId="77777777" w:rsidTr="00D23413">
        <w:tc>
          <w:tcPr>
            <w:tcW w:w="959" w:type="dxa"/>
            <w:shd w:val="clear" w:color="auto" w:fill="auto"/>
            <w:tcMar>
              <w:top w:w="85" w:type="dxa"/>
            </w:tcMar>
            <w:vAlign w:val="center"/>
          </w:tcPr>
          <w:p w14:paraId="112C09E1" w14:textId="77777777" w:rsidR="00617806" w:rsidRPr="00191B6F" w:rsidRDefault="00617806" w:rsidP="00617806">
            <w:pPr>
              <w:contextualSpacing/>
              <w:rPr>
                <w:rFonts w:ascii="Arial" w:hAnsi="Arial" w:cs="Arial"/>
                <w:sz w:val="20"/>
                <w:szCs w:val="20"/>
              </w:rPr>
            </w:pPr>
            <w:r>
              <w:rPr>
                <w:rFonts w:ascii="Arial" w:hAnsi="Arial" w:cs="Arial"/>
                <w:sz w:val="20"/>
                <w:szCs w:val="20"/>
              </w:rPr>
              <w:t>220</w:t>
            </w:r>
          </w:p>
        </w:tc>
        <w:tc>
          <w:tcPr>
            <w:tcW w:w="1276" w:type="dxa"/>
            <w:vAlign w:val="center"/>
          </w:tcPr>
          <w:p w14:paraId="6183B036" w14:textId="268B4AE5" w:rsidR="00617806" w:rsidRDefault="00617806" w:rsidP="00617806">
            <w:pPr>
              <w:contextualSpacing/>
              <w:rPr>
                <w:rFonts w:ascii="Arial" w:hAnsi="Arial" w:cs="Arial"/>
                <w:sz w:val="20"/>
                <w:szCs w:val="20"/>
              </w:rPr>
            </w:pPr>
            <w:r w:rsidRPr="00222297">
              <w:rPr>
                <w:rFonts w:ascii="Arial" w:hAnsi="Arial" w:cs="Arial"/>
                <w:sz w:val="20"/>
                <w:szCs w:val="20"/>
              </w:rPr>
              <w:t>1.</w:t>
            </w:r>
            <w:r w:rsidR="001610A2">
              <w:rPr>
                <w:rFonts w:ascii="Arial" w:hAnsi="Arial" w:cs="Arial"/>
                <w:sz w:val="20"/>
                <w:szCs w:val="20"/>
              </w:rPr>
              <w:t>9.</w:t>
            </w:r>
            <w:r w:rsidRPr="00222297">
              <w:rPr>
                <w:rFonts w:ascii="Arial" w:hAnsi="Arial" w:cs="Arial"/>
                <w:sz w:val="20"/>
                <w:szCs w:val="20"/>
              </w:rPr>
              <w:t>2.</w:t>
            </w:r>
          </w:p>
        </w:tc>
        <w:tc>
          <w:tcPr>
            <w:tcW w:w="3147" w:type="dxa"/>
            <w:shd w:val="clear" w:color="auto" w:fill="auto"/>
            <w:tcMar>
              <w:top w:w="85" w:type="dxa"/>
            </w:tcMar>
            <w:vAlign w:val="center"/>
          </w:tcPr>
          <w:p w14:paraId="140BFFA8" w14:textId="6AE78D4E" w:rsidR="00617806" w:rsidRPr="00191B6F" w:rsidRDefault="001610A2" w:rsidP="00617806">
            <w:pPr>
              <w:contextualSpacing/>
              <w:rPr>
                <w:rFonts w:ascii="Arial" w:hAnsi="Arial" w:cs="Arial"/>
                <w:sz w:val="20"/>
                <w:szCs w:val="20"/>
                <w:highlight w:val="yellow"/>
              </w:rPr>
            </w:pPr>
            <w:r>
              <w:rPr>
                <w:rFonts w:ascii="Arial" w:hAnsi="Arial" w:cs="Arial"/>
                <w:sz w:val="20"/>
                <w:szCs w:val="20"/>
              </w:rPr>
              <w:t xml:space="preserve">Kibocsátott </w:t>
            </w:r>
            <w:r w:rsidR="00617806">
              <w:rPr>
                <w:rFonts w:ascii="Arial" w:hAnsi="Arial" w:cs="Arial"/>
                <w:sz w:val="20"/>
                <w:szCs w:val="20"/>
              </w:rPr>
              <w:t>h</w:t>
            </w:r>
            <w:r w:rsidR="00617806" w:rsidRPr="00E23702">
              <w:rPr>
                <w:rFonts w:ascii="Arial" w:hAnsi="Arial" w:cs="Arial"/>
                <w:sz w:val="20"/>
                <w:szCs w:val="20"/>
              </w:rPr>
              <w:t>osszú lejáratú</w:t>
            </w:r>
            <w:r w:rsidR="00617806">
              <w:rPr>
                <w:rFonts w:ascii="Arial" w:hAnsi="Arial" w:cs="Arial"/>
                <w:sz w:val="20"/>
                <w:szCs w:val="20"/>
              </w:rPr>
              <w:t>,</w:t>
            </w:r>
            <w:r w:rsidR="00617806" w:rsidRPr="00E23702">
              <w:rPr>
                <w:rFonts w:ascii="Arial" w:hAnsi="Arial" w:cs="Arial"/>
                <w:sz w:val="20"/>
                <w:szCs w:val="20"/>
              </w:rPr>
              <w:t xml:space="preserve"> fedezet</w:t>
            </w:r>
            <w:r w:rsidR="00617806">
              <w:rPr>
                <w:rFonts w:ascii="Arial" w:hAnsi="Arial" w:cs="Arial"/>
                <w:sz w:val="20"/>
                <w:szCs w:val="20"/>
              </w:rPr>
              <w:t>t</w:t>
            </w:r>
            <w:r>
              <w:rPr>
                <w:rFonts w:ascii="Arial" w:hAnsi="Arial" w:cs="Arial"/>
                <w:sz w:val="20"/>
                <w:szCs w:val="20"/>
              </w:rPr>
              <w:t xml:space="preserve"> </w:t>
            </w:r>
            <w:r w:rsidRPr="001610A2">
              <w:rPr>
                <w:rFonts w:ascii="Arial" w:hAnsi="Arial" w:cs="Arial"/>
                <w:sz w:val="20"/>
                <w:szCs w:val="20"/>
              </w:rPr>
              <w:t>hitelviszonyt megtestesítő értékpapírok összesen</w:t>
            </w:r>
          </w:p>
        </w:tc>
        <w:tc>
          <w:tcPr>
            <w:tcW w:w="4082" w:type="dxa"/>
            <w:shd w:val="clear" w:color="auto" w:fill="auto"/>
            <w:tcMar>
              <w:top w:w="85" w:type="dxa"/>
            </w:tcMar>
            <w:vAlign w:val="center"/>
          </w:tcPr>
          <w:p w14:paraId="2B5B830F" w14:textId="77777777" w:rsidR="00617806" w:rsidRPr="00191B6F" w:rsidRDefault="00617806" w:rsidP="00617806">
            <w:pPr>
              <w:contextualSpacing/>
              <w:rPr>
                <w:rFonts w:ascii="Arial" w:hAnsi="Arial" w:cs="Arial"/>
                <w:sz w:val="20"/>
                <w:szCs w:val="20"/>
              </w:rPr>
            </w:pPr>
            <w:r>
              <w:rPr>
                <w:rFonts w:ascii="Arial" w:hAnsi="Arial" w:cs="Arial"/>
                <w:sz w:val="20"/>
                <w:szCs w:val="20"/>
              </w:rPr>
              <w:t>220 = 180 - 190</w:t>
            </w:r>
          </w:p>
        </w:tc>
      </w:tr>
      <w:tr w:rsidR="00617806" w:rsidRPr="00191B6F" w14:paraId="2009188F" w14:textId="77777777" w:rsidTr="00D23413">
        <w:tc>
          <w:tcPr>
            <w:tcW w:w="959" w:type="dxa"/>
            <w:shd w:val="clear" w:color="auto" w:fill="auto"/>
            <w:tcMar>
              <w:top w:w="85" w:type="dxa"/>
            </w:tcMar>
            <w:vAlign w:val="center"/>
          </w:tcPr>
          <w:p w14:paraId="07356735" w14:textId="77777777" w:rsidR="00617806" w:rsidRPr="00E06E56" w:rsidRDefault="00617806" w:rsidP="00617806">
            <w:pPr>
              <w:contextualSpacing/>
              <w:rPr>
                <w:rFonts w:ascii="Arial" w:hAnsi="Arial" w:cs="Arial"/>
                <w:sz w:val="20"/>
                <w:szCs w:val="20"/>
              </w:rPr>
            </w:pPr>
            <w:r w:rsidRPr="00E06E56">
              <w:rPr>
                <w:rFonts w:ascii="Arial" w:hAnsi="Arial" w:cs="Arial"/>
                <w:sz w:val="20"/>
                <w:szCs w:val="20"/>
              </w:rPr>
              <w:t>250</w:t>
            </w:r>
          </w:p>
        </w:tc>
        <w:tc>
          <w:tcPr>
            <w:tcW w:w="1276" w:type="dxa"/>
            <w:vAlign w:val="center"/>
          </w:tcPr>
          <w:p w14:paraId="26C5004C" w14:textId="4B3EC585" w:rsidR="00617806" w:rsidRPr="00E06E56" w:rsidRDefault="00617806" w:rsidP="00617806">
            <w:pPr>
              <w:contextualSpacing/>
              <w:rPr>
                <w:rFonts w:ascii="Arial" w:hAnsi="Arial" w:cs="Arial"/>
                <w:sz w:val="20"/>
                <w:szCs w:val="20"/>
                <w:highlight w:val="yellow"/>
              </w:rPr>
            </w:pPr>
            <w:r w:rsidRPr="00C41946">
              <w:rPr>
                <w:rFonts w:ascii="Arial" w:hAnsi="Arial" w:cs="Arial"/>
                <w:sz w:val="20"/>
                <w:szCs w:val="20"/>
              </w:rPr>
              <w:t>1.</w:t>
            </w:r>
            <w:r w:rsidR="002E36FF" w:rsidRPr="00E06E56">
              <w:rPr>
                <w:rFonts w:ascii="Arial" w:hAnsi="Arial" w:cs="Arial"/>
                <w:sz w:val="20"/>
                <w:szCs w:val="20"/>
              </w:rPr>
              <w:t>9.2.1.</w:t>
            </w:r>
          </w:p>
        </w:tc>
        <w:tc>
          <w:tcPr>
            <w:tcW w:w="3147" w:type="dxa"/>
            <w:shd w:val="clear" w:color="auto" w:fill="auto"/>
            <w:tcMar>
              <w:top w:w="85" w:type="dxa"/>
            </w:tcMar>
            <w:vAlign w:val="center"/>
          </w:tcPr>
          <w:p w14:paraId="6EA9253E" w14:textId="422C4DD8" w:rsidR="00617806" w:rsidRPr="00E06E56" w:rsidRDefault="002E36FF" w:rsidP="00617806">
            <w:pPr>
              <w:contextualSpacing/>
              <w:rPr>
                <w:rFonts w:ascii="Arial" w:hAnsi="Arial" w:cs="Arial"/>
                <w:sz w:val="20"/>
                <w:szCs w:val="20"/>
              </w:rPr>
            </w:pPr>
            <w:r w:rsidRPr="00E06E56">
              <w:rPr>
                <w:rFonts w:ascii="Arial" w:hAnsi="Arial" w:cs="Arial"/>
                <w:sz w:val="20"/>
                <w:szCs w:val="20"/>
              </w:rPr>
              <w:t>F</w:t>
            </w:r>
            <w:r w:rsidR="00617806" w:rsidRPr="00E06E56">
              <w:rPr>
                <w:rFonts w:ascii="Arial" w:hAnsi="Arial" w:cs="Arial"/>
                <w:sz w:val="20"/>
                <w:szCs w:val="20"/>
              </w:rPr>
              <w:t xml:space="preserve">edezett kötvények </w:t>
            </w:r>
          </w:p>
        </w:tc>
        <w:tc>
          <w:tcPr>
            <w:tcW w:w="4082" w:type="dxa"/>
            <w:shd w:val="clear" w:color="auto" w:fill="auto"/>
            <w:tcMar>
              <w:top w:w="85" w:type="dxa"/>
            </w:tcMar>
            <w:vAlign w:val="center"/>
          </w:tcPr>
          <w:p w14:paraId="6A06C038" w14:textId="70F5A288" w:rsidR="00617806" w:rsidRPr="00E06E56" w:rsidRDefault="002E36FF" w:rsidP="00883E29">
            <w:pPr>
              <w:contextualSpacing/>
              <w:jc w:val="both"/>
              <w:rPr>
                <w:rFonts w:ascii="Arial" w:hAnsi="Arial" w:cs="Arial"/>
                <w:sz w:val="20"/>
                <w:szCs w:val="20"/>
              </w:rPr>
            </w:pPr>
            <w:r w:rsidRPr="00E06E56">
              <w:rPr>
                <w:rFonts w:ascii="Arial" w:hAnsi="Arial" w:cs="Arial"/>
                <w:bCs/>
                <w:sz w:val="20"/>
                <w:szCs w:val="20"/>
              </w:rPr>
              <w:t>Ez a tétel a</w:t>
            </w:r>
            <w:r w:rsidR="0009570C">
              <w:rPr>
                <w:rFonts w:ascii="Arial" w:hAnsi="Arial" w:cs="Arial"/>
                <w:bCs/>
                <w:sz w:val="20"/>
                <w:szCs w:val="20"/>
              </w:rPr>
              <w:t xml:space="preserve"> CRR </w:t>
            </w:r>
            <w:r w:rsidRPr="00E06E56">
              <w:rPr>
                <w:rFonts w:ascii="Arial" w:hAnsi="Arial" w:cs="Arial"/>
                <w:bCs/>
                <w:sz w:val="20"/>
                <w:szCs w:val="20"/>
              </w:rPr>
              <w:t>129.</w:t>
            </w:r>
            <w:r w:rsidR="0061587D">
              <w:rPr>
                <w:rFonts w:ascii="Arial" w:hAnsi="Arial" w:cs="Arial"/>
                <w:bCs/>
                <w:sz w:val="20"/>
                <w:szCs w:val="20"/>
              </w:rPr>
              <w:t xml:space="preserve"> </w:t>
            </w:r>
            <w:r w:rsidRPr="00E06E56">
              <w:rPr>
                <w:rFonts w:ascii="Arial" w:hAnsi="Arial" w:cs="Arial"/>
                <w:bCs/>
                <w:sz w:val="20"/>
                <w:szCs w:val="20"/>
              </w:rPr>
              <w:t>cikk (1)</w:t>
            </w:r>
            <w:r w:rsidR="0061587D">
              <w:rPr>
                <w:rFonts w:ascii="Arial" w:hAnsi="Arial" w:cs="Arial"/>
                <w:bCs/>
                <w:sz w:val="20"/>
                <w:szCs w:val="20"/>
              </w:rPr>
              <w:t xml:space="preserve"> </w:t>
            </w:r>
            <w:r w:rsidRPr="00E06E56">
              <w:rPr>
                <w:rFonts w:ascii="Arial" w:hAnsi="Arial" w:cs="Arial"/>
                <w:bCs/>
                <w:sz w:val="20"/>
                <w:szCs w:val="20"/>
              </w:rPr>
              <w:t xml:space="preserve">bekezdésében meghatározott kezelésre jogosult kötvényeket tartalmazza. </w:t>
            </w:r>
            <w:r w:rsidR="009C75CD">
              <w:rPr>
                <w:rFonts w:ascii="Arial" w:hAnsi="Arial" w:cs="Arial"/>
                <w:sz w:val="20"/>
                <w:szCs w:val="20"/>
              </w:rPr>
              <w:t>(EU) 2021/451</w:t>
            </w:r>
            <w:r w:rsidR="00617806" w:rsidRPr="00E06E56">
              <w:rPr>
                <w:rFonts w:ascii="Arial" w:hAnsi="Arial" w:cs="Arial"/>
                <w:sz w:val="20"/>
                <w:szCs w:val="20"/>
              </w:rPr>
              <w:t xml:space="preserve"> bizottsági végrehajtási rendelet</w:t>
            </w:r>
            <w:r w:rsidR="00617806" w:rsidRPr="00C41946">
              <w:rPr>
                <w:rFonts w:ascii="Arial" w:hAnsi="Arial" w:cs="Arial"/>
                <w:sz w:val="20"/>
                <w:szCs w:val="20"/>
              </w:rPr>
              <w:t xml:space="preserve"> I</w:t>
            </w:r>
            <w:r w:rsidR="00160040">
              <w:rPr>
                <w:rFonts w:ascii="Arial" w:hAnsi="Arial" w:cs="Arial"/>
                <w:sz w:val="20"/>
                <w:szCs w:val="20"/>
              </w:rPr>
              <w:t>II</w:t>
            </w:r>
            <w:r w:rsidR="00617806" w:rsidRPr="00C41946">
              <w:rPr>
                <w:rFonts w:ascii="Arial" w:hAnsi="Arial" w:cs="Arial"/>
                <w:sz w:val="20"/>
                <w:szCs w:val="20"/>
              </w:rPr>
              <w:t xml:space="preserve">. melléklet F 08.01 tábla, </w:t>
            </w:r>
            <w:r w:rsidR="00CE1C46">
              <w:rPr>
                <w:rFonts w:ascii="Arial" w:hAnsi="Arial" w:cs="Arial"/>
                <w:sz w:val="20"/>
                <w:szCs w:val="20"/>
              </w:rPr>
              <w:t>0</w:t>
            </w:r>
            <w:r w:rsidR="00617806" w:rsidRPr="00C41946">
              <w:rPr>
                <w:rFonts w:ascii="Arial" w:hAnsi="Arial" w:cs="Arial"/>
                <w:sz w:val="20"/>
                <w:szCs w:val="20"/>
              </w:rPr>
              <w:t>390</w:t>
            </w:r>
            <w:r w:rsidR="00617806" w:rsidRPr="00E06E56">
              <w:rPr>
                <w:rFonts w:ascii="Arial" w:hAnsi="Arial" w:cs="Arial"/>
                <w:sz w:val="20"/>
                <w:szCs w:val="20"/>
              </w:rPr>
              <w:t xml:space="preserve">. sor, </w:t>
            </w:r>
            <w:r w:rsidR="00CE1C46">
              <w:rPr>
                <w:rFonts w:ascii="Arial" w:hAnsi="Arial" w:cs="Arial"/>
                <w:sz w:val="20"/>
                <w:szCs w:val="20"/>
              </w:rPr>
              <w:t>0</w:t>
            </w:r>
            <w:r w:rsidR="00617806" w:rsidRPr="00E06E56">
              <w:rPr>
                <w:rFonts w:ascii="Arial" w:hAnsi="Arial" w:cs="Arial"/>
                <w:sz w:val="20"/>
                <w:szCs w:val="20"/>
              </w:rPr>
              <w:t>010.+</w:t>
            </w:r>
            <w:r w:rsidR="00CE1C46">
              <w:rPr>
                <w:rFonts w:ascii="Arial" w:hAnsi="Arial" w:cs="Arial"/>
                <w:sz w:val="20"/>
                <w:szCs w:val="20"/>
              </w:rPr>
              <w:t>0</w:t>
            </w:r>
            <w:r w:rsidR="00617806" w:rsidRPr="00E06E56">
              <w:rPr>
                <w:rFonts w:ascii="Arial" w:hAnsi="Arial" w:cs="Arial"/>
                <w:sz w:val="20"/>
                <w:szCs w:val="20"/>
              </w:rPr>
              <w:t>020.+</w:t>
            </w:r>
            <w:r w:rsidR="00CE1C46">
              <w:rPr>
                <w:rFonts w:ascii="Arial" w:hAnsi="Arial" w:cs="Arial"/>
                <w:sz w:val="20"/>
                <w:szCs w:val="20"/>
              </w:rPr>
              <w:t>0</w:t>
            </w:r>
            <w:r w:rsidR="00617806" w:rsidRPr="00E06E56">
              <w:rPr>
                <w:rFonts w:ascii="Arial" w:hAnsi="Arial" w:cs="Arial"/>
                <w:sz w:val="20"/>
                <w:szCs w:val="20"/>
              </w:rPr>
              <w:t>030. oszlop</w:t>
            </w:r>
          </w:p>
        </w:tc>
      </w:tr>
      <w:tr w:rsidR="00617806" w:rsidRPr="00191B6F" w14:paraId="562A61AB" w14:textId="77777777" w:rsidTr="00D23413">
        <w:tc>
          <w:tcPr>
            <w:tcW w:w="959" w:type="dxa"/>
            <w:shd w:val="clear" w:color="auto" w:fill="auto"/>
            <w:tcMar>
              <w:top w:w="85" w:type="dxa"/>
            </w:tcMar>
            <w:vAlign w:val="center"/>
          </w:tcPr>
          <w:p w14:paraId="6317ECE5" w14:textId="77777777" w:rsidR="00617806" w:rsidRPr="00E06E56" w:rsidRDefault="00617806" w:rsidP="00617806">
            <w:pPr>
              <w:contextualSpacing/>
              <w:rPr>
                <w:rFonts w:ascii="Arial" w:hAnsi="Arial" w:cs="Arial"/>
                <w:sz w:val="20"/>
                <w:szCs w:val="20"/>
              </w:rPr>
            </w:pPr>
            <w:r w:rsidRPr="00E06E56">
              <w:rPr>
                <w:rFonts w:ascii="Arial" w:hAnsi="Arial" w:cs="Arial"/>
                <w:sz w:val="20"/>
                <w:szCs w:val="20"/>
              </w:rPr>
              <w:t>280</w:t>
            </w:r>
          </w:p>
        </w:tc>
        <w:tc>
          <w:tcPr>
            <w:tcW w:w="1276" w:type="dxa"/>
            <w:vAlign w:val="center"/>
          </w:tcPr>
          <w:p w14:paraId="27E7FFC2" w14:textId="6906323C" w:rsidR="00617806" w:rsidRPr="00E06E56" w:rsidRDefault="00617806" w:rsidP="00617806">
            <w:pPr>
              <w:contextualSpacing/>
              <w:rPr>
                <w:rFonts w:ascii="Arial" w:hAnsi="Arial" w:cs="Arial"/>
                <w:sz w:val="20"/>
                <w:szCs w:val="20"/>
                <w:highlight w:val="yellow"/>
              </w:rPr>
            </w:pPr>
            <w:r w:rsidRPr="00C41946">
              <w:rPr>
                <w:rFonts w:ascii="Arial" w:hAnsi="Arial" w:cs="Arial"/>
                <w:sz w:val="20"/>
                <w:szCs w:val="20"/>
              </w:rPr>
              <w:t>1.</w:t>
            </w:r>
            <w:r w:rsidR="002E36FF" w:rsidRPr="00E06E56">
              <w:rPr>
                <w:rFonts w:ascii="Arial" w:hAnsi="Arial" w:cs="Arial"/>
                <w:sz w:val="20"/>
                <w:szCs w:val="20"/>
              </w:rPr>
              <w:t>9.2.2.</w:t>
            </w:r>
          </w:p>
        </w:tc>
        <w:tc>
          <w:tcPr>
            <w:tcW w:w="3147" w:type="dxa"/>
            <w:shd w:val="clear" w:color="auto" w:fill="auto"/>
            <w:tcMar>
              <w:top w:w="85" w:type="dxa"/>
            </w:tcMar>
            <w:vAlign w:val="center"/>
          </w:tcPr>
          <w:p w14:paraId="0A4B84E7" w14:textId="78D935C6" w:rsidR="00617806" w:rsidRPr="00E06E56" w:rsidRDefault="00617806" w:rsidP="00617806">
            <w:pPr>
              <w:contextualSpacing/>
              <w:rPr>
                <w:rFonts w:ascii="Arial" w:hAnsi="Arial" w:cs="Arial"/>
                <w:sz w:val="20"/>
                <w:szCs w:val="20"/>
              </w:rPr>
            </w:pPr>
            <w:r w:rsidRPr="00E0230B">
              <w:rPr>
                <w:rFonts w:ascii="Arial" w:hAnsi="Arial" w:cs="Arial"/>
                <w:sz w:val="20"/>
                <w:szCs w:val="20"/>
              </w:rPr>
              <w:t>Eszköz</w:t>
            </w:r>
            <w:r w:rsidR="00E0230B">
              <w:rPr>
                <w:rFonts w:ascii="Arial" w:hAnsi="Arial" w:cs="Arial"/>
                <w:sz w:val="20"/>
                <w:szCs w:val="20"/>
              </w:rPr>
              <w:t xml:space="preserve">fedezetű </w:t>
            </w:r>
            <w:r w:rsidRPr="00E06E56">
              <w:rPr>
                <w:rFonts w:ascii="Arial" w:hAnsi="Arial" w:cs="Arial"/>
                <w:sz w:val="20"/>
                <w:szCs w:val="20"/>
              </w:rPr>
              <w:t xml:space="preserve">értékpapírok </w:t>
            </w:r>
          </w:p>
        </w:tc>
        <w:tc>
          <w:tcPr>
            <w:tcW w:w="4082" w:type="dxa"/>
            <w:shd w:val="clear" w:color="auto" w:fill="auto"/>
            <w:tcMar>
              <w:top w:w="85" w:type="dxa"/>
            </w:tcMar>
            <w:vAlign w:val="center"/>
          </w:tcPr>
          <w:p w14:paraId="0E365A14" w14:textId="42BFB93C" w:rsidR="00617806" w:rsidRPr="00C41946" w:rsidRDefault="00617806" w:rsidP="00883E29">
            <w:pPr>
              <w:contextualSpacing/>
              <w:jc w:val="both"/>
              <w:rPr>
                <w:rFonts w:ascii="Arial" w:hAnsi="Arial" w:cs="Arial"/>
                <w:sz w:val="20"/>
                <w:szCs w:val="20"/>
              </w:rPr>
            </w:pPr>
            <w:r w:rsidRPr="00E06E56">
              <w:rPr>
                <w:rFonts w:ascii="Arial" w:hAnsi="Arial" w:cs="Arial"/>
                <w:sz w:val="20"/>
                <w:szCs w:val="20"/>
              </w:rPr>
              <w:t xml:space="preserve">CRR 4. cikk (1) bekezdés </w:t>
            </w:r>
            <w:r w:rsidRPr="00C41946">
              <w:rPr>
                <w:rFonts w:ascii="Arial" w:hAnsi="Arial" w:cs="Arial"/>
                <w:sz w:val="20"/>
                <w:szCs w:val="20"/>
              </w:rPr>
              <w:t>61. pontja szerinti eszközalapú (ABS) értékpapírok.</w:t>
            </w:r>
          </w:p>
        </w:tc>
      </w:tr>
      <w:tr w:rsidR="00617806" w:rsidRPr="00191B6F" w14:paraId="1F5499B5" w14:textId="77777777" w:rsidTr="00D23413">
        <w:tc>
          <w:tcPr>
            <w:tcW w:w="959" w:type="dxa"/>
            <w:shd w:val="clear" w:color="auto" w:fill="auto"/>
            <w:tcMar>
              <w:top w:w="85" w:type="dxa"/>
            </w:tcMar>
            <w:vAlign w:val="center"/>
          </w:tcPr>
          <w:p w14:paraId="1E7903BB" w14:textId="77777777" w:rsidR="00617806" w:rsidRPr="00E06E56" w:rsidRDefault="00617806" w:rsidP="00617806">
            <w:pPr>
              <w:contextualSpacing/>
              <w:rPr>
                <w:rFonts w:ascii="Arial" w:hAnsi="Arial" w:cs="Arial"/>
                <w:sz w:val="20"/>
                <w:szCs w:val="20"/>
              </w:rPr>
            </w:pPr>
            <w:r w:rsidRPr="00E06E56">
              <w:rPr>
                <w:rFonts w:ascii="Arial" w:hAnsi="Arial" w:cs="Arial"/>
                <w:sz w:val="20"/>
                <w:szCs w:val="20"/>
              </w:rPr>
              <w:t>310</w:t>
            </w:r>
          </w:p>
        </w:tc>
        <w:tc>
          <w:tcPr>
            <w:tcW w:w="1276" w:type="dxa"/>
            <w:vAlign w:val="center"/>
          </w:tcPr>
          <w:p w14:paraId="2390D1E9" w14:textId="5A6FE7D2" w:rsidR="00617806" w:rsidRPr="00E06E56" w:rsidRDefault="00617806" w:rsidP="00617806">
            <w:pPr>
              <w:contextualSpacing/>
              <w:rPr>
                <w:rFonts w:ascii="Arial" w:hAnsi="Arial" w:cs="Arial"/>
                <w:sz w:val="20"/>
                <w:szCs w:val="20"/>
              </w:rPr>
            </w:pPr>
            <w:r w:rsidRPr="00C41946">
              <w:rPr>
                <w:rFonts w:ascii="Arial" w:hAnsi="Arial" w:cs="Arial"/>
                <w:sz w:val="20"/>
                <w:szCs w:val="20"/>
              </w:rPr>
              <w:t>1.</w:t>
            </w:r>
            <w:r w:rsidR="00931E19" w:rsidRPr="00E06E56">
              <w:rPr>
                <w:rFonts w:ascii="Arial" w:hAnsi="Arial" w:cs="Arial"/>
                <w:sz w:val="20"/>
                <w:szCs w:val="20"/>
              </w:rPr>
              <w:t>9.2.3</w:t>
            </w:r>
            <w:r w:rsidR="00521A47">
              <w:rPr>
                <w:rFonts w:ascii="Arial" w:hAnsi="Arial" w:cs="Arial"/>
                <w:sz w:val="20"/>
                <w:szCs w:val="20"/>
              </w:rPr>
              <w:t>.</w:t>
            </w:r>
          </w:p>
        </w:tc>
        <w:tc>
          <w:tcPr>
            <w:tcW w:w="3147" w:type="dxa"/>
            <w:shd w:val="clear" w:color="auto" w:fill="auto"/>
            <w:tcMar>
              <w:top w:w="85" w:type="dxa"/>
            </w:tcMar>
            <w:vAlign w:val="center"/>
          </w:tcPr>
          <w:p w14:paraId="05D19B3C" w14:textId="0AC6DE3C" w:rsidR="00617806" w:rsidRPr="00E06E56" w:rsidRDefault="00617806" w:rsidP="00617806">
            <w:pPr>
              <w:contextualSpacing/>
              <w:rPr>
                <w:rFonts w:ascii="Arial" w:hAnsi="Arial" w:cs="Arial"/>
                <w:sz w:val="20"/>
                <w:szCs w:val="20"/>
              </w:rPr>
            </w:pPr>
            <w:r w:rsidRPr="00E06E56">
              <w:rPr>
                <w:rFonts w:ascii="Arial" w:hAnsi="Arial" w:cs="Arial"/>
                <w:sz w:val="20"/>
                <w:szCs w:val="20"/>
              </w:rPr>
              <w:t xml:space="preserve">Egyéb </w:t>
            </w:r>
            <w:r w:rsidR="00931E19" w:rsidRPr="00E06E56">
              <w:rPr>
                <w:rFonts w:ascii="Arial" w:hAnsi="Arial" w:cs="Arial"/>
                <w:sz w:val="20"/>
                <w:szCs w:val="20"/>
              </w:rPr>
              <w:t xml:space="preserve">hosszú lejáratú </w:t>
            </w:r>
            <w:r w:rsidRPr="00E06E56">
              <w:rPr>
                <w:rFonts w:ascii="Arial" w:hAnsi="Arial" w:cs="Arial"/>
                <w:sz w:val="20"/>
                <w:szCs w:val="20"/>
              </w:rPr>
              <w:t>fedezet</w:t>
            </w:r>
            <w:r w:rsidR="00931E19" w:rsidRPr="00E06E56">
              <w:rPr>
                <w:rFonts w:ascii="Arial" w:hAnsi="Arial" w:cs="Arial"/>
                <w:sz w:val="20"/>
                <w:szCs w:val="20"/>
              </w:rPr>
              <w:t>t,</w:t>
            </w:r>
            <w:r w:rsidRPr="00E06E56">
              <w:rPr>
                <w:rFonts w:ascii="Arial" w:hAnsi="Arial" w:cs="Arial"/>
                <w:sz w:val="20"/>
                <w:szCs w:val="20"/>
              </w:rPr>
              <w:t xml:space="preserve"> hitelviszonyt megtestesítő értékpapírok </w:t>
            </w:r>
          </w:p>
        </w:tc>
        <w:tc>
          <w:tcPr>
            <w:tcW w:w="4082" w:type="dxa"/>
            <w:shd w:val="clear" w:color="auto" w:fill="auto"/>
            <w:tcMar>
              <w:top w:w="85" w:type="dxa"/>
            </w:tcMar>
            <w:vAlign w:val="center"/>
          </w:tcPr>
          <w:p w14:paraId="553CFA21" w14:textId="10279BF9" w:rsidR="00617806" w:rsidRPr="00E06E56" w:rsidRDefault="00034FC7" w:rsidP="00617806">
            <w:pPr>
              <w:contextualSpacing/>
              <w:jc w:val="both"/>
              <w:rPr>
                <w:rFonts w:ascii="Arial" w:hAnsi="Arial" w:cs="Arial"/>
                <w:sz w:val="20"/>
                <w:szCs w:val="20"/>
              </w:rPr>
            </w:pPr>
            <w:r w:rsidRPr="00E06E56">
              <w:rPr>
                <w:rFonts w:ascii="Arial" w:hAnsi="Arial" w:cs="Arial"/>
                <w:bCs/>
                <w:sz w:val="20"/>
                <w:szCs w:val="20"/>
              </w:rPr>
              <w:t xml:space="preserve">Ez a tétel tartalmaz minden </w:t>
            </w:r>
            <w:r w:rsidR="000A2582">
              <w:rPr>
                <w:rFonts w:ascii="Arial" w:hAnsi="Arial" w:cs="Arial"/>
                <w:bCs/>
                <w:sz w:val="20"/>
                <w:szCs w:val="20"/>
              </w:rPr>
              <w:t>egyéb</w:t>
            </w:r>
            <w:r w:rsidRPr="00E06E56">
              <w:rPr>
                <w:rFonts w:ascii="Arial" w:hAnsi="Arial" w:cs="Arial"/>
                <w:bCs/>
                <w:sz w:val="20"/>
                <w:szCs w:val="20"/>
              </w:rPr>
              <w:t xml:space="preserve"> hosszú lejáratú hitelviszonyt megtestesítő értékpapírt (a 180. sorban meghatározottak szerint),</w:t>
            </w:r>
            <w:r w:rsidR="00617806" w:rsidRPr="00E06E56">
              <w:rPr>
                <w:rFonts w:ascii="Arial" w:hAnsi="Arial" w:cs="Arial"/>
                <w:sz w:val="20"/>
                <w:szCs w:val="20"/>
              </w:rPr>
              <w:t xml:space="preserve"> </w:t>
            </w:r>
            <w:r w:rsidRPr="00E06E56">
              <w:rPr>
                <w:rFonts w:ascii="Arial" w:hAnsi="Arial" w:cs="Arial"/>
                <w:sz w:val="20"/>
                <w:szCs w:val="20"/>
              </w:rPr>
              <w:t xml:space="preserve">amelyek </w:t>
            </w:r>
            <w:r w:rsidR="00617806" w:rsidRPr="00E06E56">
              <w:rPr>
                <w:rFonts w:ascii="Arial" w:hAnsi="Arial" w:cs="Arial"/>
                <w:sz w:val="20"/>
                <w:szCs w:val="20"/>
              </w:rPr>
              <w:t>fedezet</w:t>
            </w:r>
            <w:r w:rsidRPr="00E06E56">
              <w:rPr>
                <w:rFonts w:ascii="Arial" w:hAnsi="Arial" w:cs="Arial"/>
                <w:sz w:val="20"/>
                <w:szCs w:val="20"/>
              </w:rPr>
              <w:t xml:space="preserve">tel </w:t>
            </w:r>
            <w:r w:rsidR="00D8657C" w:rsidRPr="00E06E56">
              <w:rPr>
                <w:rFonts w:ascii="Arial" w:hAnsi="Arial" w:cs="Arial"/>
                <w:sz w:val="20"/>
                <w:szCs w:val="20"/>
              </w:rPr>
              <w:t>vannak biztosítva,</w:t>
            </w:r>
            <w:r w:rsidR="00617806" w:rsidRPr="00E06E56">
              <w:rPr>
                <w:rFonts w:ascii="Arial" w:hAnsi="Arial" w:cs="Arial"/>
                <w:sz w:val="20"/>
                <w:szCs w:val="20"/>
              </w:rPr>
              <w:t xml:space="preserve"> </w:t>
            </w:r>
            <w:r w:rsidR="00D8657C" w:rsidRPr="00E06E56">
              <w:rPr>
                <w:rFonts w:ascii="Arial" w:hAnsi="Arial" w:cs="Arial"/>
                <w:sz w:val="20"/>
                <w:szCs w:val="20"/>
              </w:rPr>
              <w:t xml:space="preserve">és </w:t>
            </w:r>
            <w:r w:rsidR="00617806" w:rsidRPr="00E06E56">
              <w:rPr>
                <w:rFonts w:ascii="Arial" w:hAnsi="Arial" w:cs="Arial"/>
                <w:sz w:val="20"/>
                <w:szCs w:val="20"/>
              </w:rPr>
              <w:t>melyet nem tartalmaznak a 250. és 280. sorok</w:t>
            </w:r>
          </w:p>
        </w:tc>
      </w:tr>
      <w:tr w:rsidR="00617806" w:rsidRPr="00191B6F" w14:paraId="4B80BEB4" w14:textId="77777777" w:rsidTr="00D23413">
        <w:tc>
          <w:tcPr>
            <w:tcW w:w="959" w:type="dxa"/>
            <w:shd w:val="clear" w:color="auto" w:fill="auto"/>
            <w:tcMar>
              <w:top w:w="85" w:type="dxa"/>
            </w:tcMar>
            <w:vAlign w:val="center"/>
          </w:tcPr>
          <w:p w14:paraId="49A936BE" w14:textId="77777777" w:rsidR="00617806" w:rsidRPr="00E06E56" w:rsidRDefault="00617806" w:rsidP="00617806">
            <w:pPr>
              <w:contextualSpacing/>
              <w:rPr>
                <w:rFonts w:ascii="Arial" w:hAnsi="Arial" w:cs="Arial"/>
                <w:sz w:val="20"/>
                <w:szCs w:val="20"/>
              </w:rPr>
            </w:pPr>
            <w:r w:rsidRPr="00E06E56">
              <w:rPr>
                <w:rFonts w:ascii="Arial" w:hAnsi="Arial" w:cs="Arial"/>
                <w:sz w:val="20"/>
                <w:szCs w:val="20"/>
              </w:rPr>
              <w:t>340</w:t>
            </w:r>
          </w:p>
        </w:tc>
        <w:tc>
          <w:tcPr>
            <w:tcW w:w="1276" w:type="dxa"/>
            <w:vAlign w:val="center"/>
          </w:tcPr>
          <w:p w14:paraId="7BA605B0" w14:textId="63C4EFB1" w:rsidR="00617806" w:rsidRPr="00E06E56" w:rsidRDefault="00617806" w:rsidP="00617806">
            <w:pPr>
              <w:contextualSpacing/>
              <w:rPr>
                <w:rFonts w:ascii="Arial" w:hAnsi="Arial" w:cs="Arial"/>
                <w:sz w:val="20"/>
                <w:szCs w:val="20"/>
              </w:rPr>
            </w:pPr>
            <w:r w:rsidRPr="00C41946">
              <w:rPr>
                <w:rFonts w:ascii="Arial" w:hAnsi="Arial" w:cs="Arial"/>
                <w:sz w:val="20"/>
                <w:szCs w:val="20"/>
              </w:rPr>
              <w:t>1.</w:t>
            </w:r>
            <w:r w:rsidR="00B31404" w:rsidRPr="00E06E56">
              <w:rPr>
                <w:rFonts w:ascii="Arial" w:hAnsi="Arial" w:cs="Arial"/>
                <w:sz w:val="20"/>
                <w:szCs w:val="20"/>
              </w:rPr>
              <w:t>10.</w:t>
            </w:r>
          </w:p>
        </w:tc>
        <w:tc>
          <w:tcPr>
            <w:tcW w:w="3147" w:type="dxa"/>
            <w:shd w:val="clear" w:color="auto" w:fill="auto"/>
            <w:tcMar>
              <w:top w:w="85" w:type="dxa"/>
            </w:tcMar>
            <w:vAlign w:val="center"/>
          </w:tcPr>
          <w:p w14:paraId="2B353C02" w14:textId="77777777" w:rsidR="00617806" w:rsidRPr="00E06E56" w:rsidRDefault="00617806" w:rsidP="00617806">
            <w:pPr>
              <w:contextualSpacing/>
              <w:rPr>
                <w:rFonts w:ascii="Arial" w:hAnsi="Arial" w:cs="Arial"/>
                <w:sz w:val="20"/>
                <w:szCs w:val="20"/>
              </w:rPr>
            </w:pPr>
            <w:r w:rsidRPr="00E06E56">
              <w:rPr>
                <w:rFonts w:ascii="Arial" w:hAnsi="Arial" w:cs="Arial"/>
                <w:sz w:val="20"/>
                <w:szCs w:val="20"/>
              </w:rPr>
              <w:t>Kibocsátott hitelviszonyt megtestesítő értékpapírok összesen</w:t>
            </w:r>
          </w:p>
        </w:tc>
        <w:tc>
          <w:tcPr>
            <w:tcW w:w="4082" w:type="dxa"/>
            <w:shd w:val="clear" w:color="auto" w:fill="auto"/>
            <w:tcMar>
              <w:top w:w="85" w:type="dxa"/>
            </w:tcMar>
            <w:vAlign w:val="center"/>
          </w:tcPr>
          <w:p w14:paraId="344BD100" w14:textId="5DB25915" w:rsidR="00617806" w:rsidRPr="00E06E56" w:rsidRDefault="00617806" w:rsidP="00AF447C">
            <w:pPr>
              <w:contextualSpacing/>
              <w:rPr>
                <w:rFonts w:ascii="Arial" w:hAnsi="Arial" w:cs="Arial"/>
                <w:sz w:val="20"/>
                <w:szCs w:val="20"/>
              </w:rPr>
            </w:pPr>
            <w:r w:rsidRPr="00E06E56">
              <w:rPr>
                <w:rFonts w:ascii="Arial" w:hAnsi="Arial" w:cs="Arial"/>
                <w:sz w:val="20"/>
                <w:szCs w:val="20"/>
              </w:rPr>
              <w:t xml:space="preserve">340 = 150+180 </w:t>
            </w:r>
          </w:p>
          <w:p w14:paraId="5B9DB049" w14:textId="68D20305" w:rsidR="00617806" w:rsidRPr="00C41946" w:rsidRDefault="00617806">
            <w:pPr>
              <w:contextualSpacing/>
              <w:rPr>
                <w:rFonts w:ascii="Arial" w:hAnsi="Arial" w:cs="Arial"/>
                <w:sz w:val="20"/>
                <w:szCs w:val="20"/>
              </w:rPr>
            </w:pPr>
            <w:r w:rsidRPr="00E06E56">
              <w:rPr>
                <w:rFonts w:ascii="Arial" w:hAnsi="Arial" w:cs="Arial"/>
                <w:sz w:val="20"/>
                <w:szCs w:val="20"/>
              </w:rPr>
              <w:t>(</w:t>
            </w:r>
            <w:r w:rsidR="006A03DE">
              <w:rPr>
                <w:rFonts w:ascii="Arial" w:hAnsi="Arial" w:cs="Arial"/>
                <w:sz w:val="20"/>
                <w:szCs w:val="20"/>
              </w:rPr>
              <w:t>(EU) 2021/451</w:t>
            </w:r>
            <w:r w:rsidR="006A03DE" w:rsidRPr="00ED3820">
              <w:rPr>
                <w:rFonts w:ascii="Arial" w:hAnsi="Arial" w:cs="Arial"/>
                <w:sz w:val="20"/>
                <w:szCs w:val="20"/>
              </w:rPr>
              <w:t xml:space="preserve"> </w:t>
            </w:r>
            <w:r w:rsidR="00B81C6A" w:rsidRPr="00E06E56">
              <w:rPr>
                <w:rFonts w:ascii="Arial" w:hAnsi="Arial" w:cs="Arial"/>
                <w:sz w:val="20"/>
                <w:szCs w:val="20"/>
              </w:rPr>
              <w:t>bizottsági végrehajtási rendelet</w:t>
            </w:r>
            <w:r w:rsidR="00B81C6A" w:rsidRPr="00C41946">
              <w:rPr>
                <w:rFonts w:ascii="Arial" w:hAnsi="Arial" w:cs="Arial"/>
                <w:sz w:val="20"/>
                <w:szCs w:val="20"/>
              </w:rPr>
              <w:t xml:space="preserve"> I</w:t>
            </w:r>
            <w:r w:rsidR="00B81C6A">
              <w:rPr>
                <w:rFonts w:ascii="Arial" w:hAnsi="Arial" w:cs="Arial"/>
                <w:sz w:val="20"/>
                <w:szCs w:val="20"/>
              </w:rPr>
              <w:t>II</w:t>
            </w:r>
            <w:r w:rsidR="00B81C6A" w:rsidRPr="00C41946">
              <w:rPr>
                <w:rFonts w:ascii="Arial" w:hAnsi="Arial" w:cs="Arial"/>
                <w:sz w:val="20"/>
                <w:szCs w:val="20"/>
              </w:rPr>
              <w:t xml:space="preserve">. melléklet </w:t>
            </w:r>
            <w:r w:rsidRPr="00E06E56">
              <w:rPr>
                <w:rFonts w:ascii="Arial" w:hAnsi="Arial" w:cs="Arial"/>
                <w:sz w:val="20"/>
                <w:szCs w:val="20"/>
              </w:rPr>
              <w:t xml:space="preserve">F 08.01 tábla, </w:t>
            </w:r>
            <w:r w:rsidR="00CE1C46">
              <w:rPr>
                <w:rFonts w:ascii="Arial" w:hAnsi="Arial" w:cs="Arial"/>
                <w:sz w:val="20"/>
                <w:szCs w:val="20"/>
              </w:rPr>
              <w:t>0</w:t>
            </w:r>
            <w:r w:rsidRPr="00E06E56">
              <w:rPr>
                <w:rFonts w:ascii="Arial" w:hAnsi="Arial" w:cs="Arial"/>
                <w:sz w:val="20"/>
                <w:szCs w:val="20"/>
              </w:rPr>
              <w:t xml:space="preserve">360. sor, </w:t>
            </w:r>
            <w:r w:rsidR="00CE1C46">
              <w:rPr>
                <w:rFonts w:ascii="Arial" w:hAnsi="Arial" w:cs="Arial"/>
                <w:sz w:val="20"/>
                <w:szCs w:val="20"/>
              </w:rPr>
              <w:t>0</w:t>
            </w:r>
            <w:r w:rsidRPr="00E06E56">
              <w:rPr>
                <w:rFonts w:ascii="Arial" w:hAnsi="Arial" w:cs="Arial"/>
                <w:sz w:val="20"/>
                <w:szCs w:val="20"/>
              </w:rPr>
              <w:t>010.+</w:t>
            </w:r>
            <w:r w:rsidR="00CE1C46">
              <w:rPr>
                <w:rFonts w:ascii="Arial" w:hAnsi="Arial" w:cs="Arial"/>
                <w:sz w:val="20"/>
                <w:szCs w:val="20"/>
              </w:rPr>
              <w:t>0</w:t>
            </w:r>
            <w:r w:rsidRPr="00E06E56">
              <w:rPr>
                <w:rFonts w:ascii="Arial" w:hAnsi="Arial" w:cs="Arial"/>
                <w:sz w:val="20"/>
                <w:szCs w:val="20"/>
              </w:rPr>
              <w:t>020.+</w:t>
            </w:r>
            <w:r w:rsidR="00CE1C46">
              <w:rPr>
                <w:rFonts w:ascii="Arial" w:hAnsi="Arial" w:cs="Arial"/>
                <w:sz w:val="20"/>
                <w:szCs w:val="20"/>
              </w:rPr>
              <w:t>0</w:t>
            </w:r>
            <w:r w:rsidRPr="00E06E56">
              <w:rPr>
                <w:rFonts w:ascii="Arial" w:hAnsi="Arial" w:cs="Arial"/>
                <w:sz w:val="20"/>
                <w:szCs w:val="20"/>
              </w:rPr>
              <w:t>030.</w:t>
            </w:r>
            <w:r w:rsidR="00C41946">
              <w:rPr>
                <w:rFonts w:ascii="Arial" w:hAnsi="Arial" w:cs="Arial"/>
                <w:sz w:val="20"/>
                <w:szCs w:val="20"/>
              </w:rPr>
              <w:t xml:space="preserve"> </w:t>
            </w:r>
            <w:r w:rsidRPr="00C41946">
              <w:rPr>
                <w:rFonts w:ascii="Arial" w:hAnsi="Arial" w:cs="Arial"/>
                <w:sz w:val="20"/>
                <w:szCs w:val="20"/>
              </w:rPr>
              <w:t>oszlop)</w:t>
            </w:r>
          </w:p>
        </w:tc>
      </w:tr>
      <w:tr w:rsidR="00617806" w:rsidRPr="00191B6F" w14:paraId="3A1CF47E" w14:textId="77777777" w:rsidTr="00D23413">
        <w:tc>
          <w:tcPr>
            <w:tcW w:w="959" w:type="dxa"/>
            <w:shd w:val="clear" w:color="auto" w:fill="auto"/>
            <w:tcMar>
              <w:top w:w="85" w:type="dxa"/>
            </w:tcMar>
            <w:vAlign w:val="center"/>
          </w:tcPr>
          <w:p w14:paraId="2520E598" w14:textId="77777777" w:rsidR="00617806" w:rsidRPr="00E06E56" w:rsidRDefault="00617806" w:rsidP="00617806">
            <w:pPr>
              <w:contextualSpacing/>
              <w:rPr>
                <w:rFonts w:ascii="Arial" w:hAnsi="Arial" w:cs="Arial"/>
                <w:sz w:val="20"/>
                <w:szCs w:val="20"/>
              </w:rPr>
            </w:pPr>
            <w:r w:rsidRPr="00E06E56">
              <w:rPr>
                <w:rFonts w:ascii="Arial" w:hAnsi="Arial" w:cs="Arial"/>
                <w:sz w:val="20"/>
                <w:szCs w:val="20"/>
              </w:rPr>
              <w:t>350</w:t>
            </w:r>
          </w:p>
        </w:tc>
        <w:tc>
          <w:tcPr>
            <w:tcW w:w="1276" w:type="dxa"/>
            <w:vAlign w:val="center"/>
          </w:tcPr>
          <w:p w14:paraId="7A14C8C3" w14:textId="4A746C6E" w:rsidR="00617806" w:rsidRPr="00E06E56" w:rsidRDefault="00617806" w:rsidP="00617806">
            <w:pPr>
              <w:contextualSpacing/>
              <w:rPr>
                <w:rFonts w:ascii="Arial" w:hAnsi="Arial" w:cs="Arial"/>
                <w:sz w:val="20"/>
                <w:szCs w:val="20"/>
              </w:rPr>
            </w:pPr>
            <w:r w:rsidRPr="00C41946">
              <w:rPr>
                <w:rFonts w:ascii="Arial" w:hAnsi="Arial" w:cs="Arial"/>
                <w:sz w:val="20"/>
                <w:szCs w:val="20"/>
              </w:rPr>
              <w:t>1.</w:t>
            </w:r>
            <w:r w:rsidR="00B31404" w:rsidRPr="00E06E56">
              <w:rPr>
                <w:rFonts w:ascii="Arial" w:hAnsi="Arial" w:cs="Arial"/>
                <w:sz w:val="20"/>
                <w:szCs w:val="20"/>
              </w:rPr>
              <w:t>10.1.</w:t>
            </w:r>
          </w:p>
        </w:tc>
        <w:tc>
          <w:tcPr>
            <w:tcW w:w="3147" w:type="dxa"/>
            <w:shd w:val="clear" w:color="auto" w:fill="auto"/>
            <w:tcMar>
              <w:top w:w="85" w:type="dxa"/>
            </w:tcMar>
            <w:vAlign w:val="center"/>
          </w:tcPr>
          <w:p w14:paraId="0A66EB29" w14:textId="15C1EDF7" w:rsidR="00617806" w:rsidRPr="00E06E56" w:rsidRDefault="00617806" w:rsidP="00617806">
            <w:pPr>
              <w:contextualSpacing/>
              <w:rPr>
                <w:rFonts w:ascii="Arial" w:hAnsi="Arial" w:cs="Arial"/>
                <w:sz w:val="20"/>
                <w:szCs w:val="20"/>
              </w:rPr>
            </w:pPr>
            <w:r w:rsidRPr="00E06E56">
              <w:rPr>
                <w:rFonts w:ascii="Arial" w:hAnsi="Arial" w:cs="Arial"/>
                <w:sz w:val="20"/>
                <w:szCs w:val="20"/>
              </w:rPr>
              <w:t xml:space="preserve"> ebből: </w:t>
            </w:r>
            <w:r w:rsidR="00B31404" w:rsidRPr="00E06E56">
              <w:rPr>
                <w:rFonts w:ascii="Arial" w:hAnsi="Arial" w:cs="Arial"/>
                <w:sz w:val="20"/>
                <w:szCs w:val="20"/>
              </w:rPr>
              <w:t>(</w:t>
            </w:r>
            <w:r w:rsidRPr="00E06E56">
              <w:rPr>
                <w:rFonts w:ascii="Arial" w:hAnsi="Arial" w:cs="Arial"/>
                <w:sz w:val="20"/>
                <w:szCs w:val="20"/>
              </w:rPr>
              <w:t xml:space="preserve">eredeti </w:t>
            </w:r>
            <w:r w:rsidR="00B31404" w:rsidRPr="00E06E56">
              <w:rPr>
                <w:rFonts w:ascii="Arial" w:hAnsi="Arial" w:cs="Arial"/>
                <w:sz w:val="20"/>
                <w:szCs w:val="20"/>
              </w:rPr>
              <w:t xml:space="preserve">lejárat </w:t>
            </w:r>
            <w:r w:rsidR="00EA4B6C" w:rsidRPr="00EA4B6C">
              <w:rPr>
                <w:rFonts w:ascii="Arial" w:hAnsi="Arial" w:cs="Arial"/>
                <w:sz w:val="20"/>
                <w:szCs w:val="20"/>
              </w:rPr>
              <w:t>≥</w:t>
            </w:r>
            <w:r w:rsidR="00B31404" w:rsidRPr="00E06E56">
              <w:rPr>
                <w:rFonts w:ascii="Arial" w:hAnsi="Arial" w:cs="Arial"/>
                <w:sz w:val="20"/>
                <w:szCs w:val="20"/>
              </w:rPr>
              <w:t xml:space="preserve">3 év) </w:t>
            </w:r>
          </w:p>
        </w:tc>
        <w:tc>
          <w:tcPr>
            <w:tcW w:w="4082" w:type="dxa"/>
            <w:shd w:val="clear" w:color="auto" w:fill="auto"/>
            <w:tcMar>
              <w:top w:w="85" w:type="dxa"/>
            </w:tcMar>
            <w:vAlign w:val="center"/>
          </w:tcPr>
          <w:p w14:paraId="2958435C" w14:textId="392BD2D8" w:rsidR="00617806" w:rsidRPr="00E06E56" w:rsidRDefault="00B31404" w:rsidP="00D80B60">
            <w:pPr>
              <w:jc w:val="both"/>
              <w:rPr>
                <w:rFonts w:ascii="Arial" w:hAnsi="Arial" w:cs="Arial"/>
                <w:sz w:val="20"/>
                <w:szCs w:val="20"/>
              </w:rPr>
            </w:pPr>
            <w:r w:rsidRPr="00E06E56">
              <w:rPr>
                <w:rFonts w:ascii="Arial" w:hAnsi="Arial" w:cs="Arial"/>
                <w:bCs/>
                <w:sz w:val="20"/>
                <w:szCs w:val="20"/>
              </w:rPr>
              <w:t>Ez a tétel a 3</w:t>
            </w:r>
            <w:r w:rsidR="003B5538">
              <w:rPr>
                <w:rFonts w:ascii="Arial" w:hAnsi="Arial" w:cs="Arial"/>
                <w:bCs/>
                <w:sz w:val="20"/>
                <w:szCs w:val="20"/>
              </w:rPr>
              <w:t xml:space="preserve"> </w:t>
            </w:r>
            <w:r w:rsidRPr="00E06E56">
              <w:rPr>
                <w:rFonts w:ascii="Arial" w:hAnsi="Arial" w:cs="Arial"/>
                <w:bCs/>
                <w:sz w:val="20"/>
                <w:szCs w:val="20"/>
              </w:rPr>
              <w:t>éves vagy annál hosszabb eredeti lejáratú, kibocsátott hitelviszonyt megtestesítő értékpapírokat tartalmazza (a 340. sorban meghatározottak szerint), valamint azokat, amelyek lehető legkorábbi visszaváltásának dátuma a kibocsátás napján 3 év vagy annál több.</w:t>
            </w:r>
          </w:p>
        </w:tc>
      </w:tr>
      <w:tr w:rsidR="00617806" w:rsidRPr="00191B6F" w14:paraId="47C0B93C" w14:textId="77777777" w:rsidTr="00D23413">
        <w:tc>
          <w:tcPr>
            <w:tcW w:w="959" w:type="dxa"/>
            <w:shd w:val="clear" w:color="auto" w:fill="auto"/>
            <w:tcMar>
              <w:top w:w="85" w:type="dxa"/>
            </w:tcMar>
            <w:vAlign w:val="center"/>
          </w:tcPr>
          <w:p w14:paraId="03DC57F9" w14:textId="77777777" w:rsidR="00617806" w:rsidRPr="00191B6F" w:rsidRDefault="00617806" w:rsidP="00617806">
            <w:pPr>
              <w:contextualSpacing/>
              <w:rPr>
                <w:rFonts w:ascii="Arial" w:hAnsi="Arial" w:cs="Arial"/>
                <w:sz w:val="20"/>
                <w:szCs w:val="20"/>
              </w:rPr>
            </w:pPr>
            <w:r w:rsidRPr="00191B6F">
              <w:rPr>
                <w:rFonts w:ascii="Arial" w:hAnsi="Arial" w:cs="Arial"/>
                <w:sz w:val="20"/>
                <w:szCs w:val="20"/>
              </w:rPr>
              <w:t>360</w:t>
            </w:r>
          </w:p>
        </w:tc>
        <w:tc>
          <w:tcPr>
            <w:tcW w:w="1276" w:type="dxa"/>
            <w:vAlign w:val="center"/>
          </w:tcPr>
          <w:p w14:paraId="3727A8E6" w14:textId="2B7E8B16" w:rsidR="00617806" w:rsidRPr="00191B6F" w:rsidRDefault="00617806" w:rsidP="00617806">
            <w:pPr>
              <w:contextualSpacing/>
              <w:rPr>
                <w:rFonts w:ascii="Arial" w:hAnsi="Arial" w:cs="Arial"/>
                <w:sz w:val="20"/>
                <w:szCs w:val="20"/>
              </w:rPr>
            </w:pPr>
            <w:r w:rsidRPr="00222297">
              <w:rPr>
                <w:rFonts w:ascii="Arial" w:hAnsi="Arial" w:cs="Arial"/>
                <w:sz w:val="20"/>
                <w:szCs w:val="20"/>
              </w:rPr>
              <w:t>1</w:t>
            </w:r>
            <w:r w:rsidR="00CA0744">
              <w:rPr>
                <w:rFonts w:ascii="Arial" w:hAnsi="Arial" w:cs="Arial"/>
                <w:sz w:val="20"/>
                <w:szCs w:val="20"/>
              </w:rPr>
              <w:t>.</w:t>
            </w:r>
            <w:r w:rsidR="00B31404">
              <w:rPr>
                <w:rFonts w:ascii="Arial" w:hAnsi="Arial" w:cs="Arial"/>
                <w:sz w:val="20"/>
                <w:szCs w:val="20"/>
              </w:rPr>
              <w:t>11.</w:t>
            </w:r>
          </w:p>
        </w:tc>
        <w:tc>
          <w:tcPr>
            <w:tcW w:w="3147" w:type="dxa"/>
            <w:shd w:val="clear" w:color="auto" w:fill="auto"/>
            <w:tcMar>
              <w:top w:w="85" w:type="dxa"/>
            </w:tcMar>
            <w:vAlign w:val="center"/>
          </w:tcPr>
          <w:p w14:paraId="0787574D" w14:textId="77777777" w:rsidR="00617806" w:rsidRPr="00191B6F" w:rsidRDefault="00617806" w:rsidP="00617806">
            <w:pPr>
              <w:contextualSpacing/>
              <w:rPr>
                <w:rFonts w:ascii="Arial" w:hAnsi="Arial" w:cs="Arial"/>
                <w:sz w:val="20"/>
                <w:szCs w:val="20"/>
              </w:rPr>
            </w:pPr>
            <w:r w:rsidRPr="00191B6F">
              <w:rPr>
                <w:rFonts w:ascii="Arial" w:hAnsi="Arial" w:cs="Arial"/>
                <w:sz w:val="20"/>
                <w:szCs w:val="20"/>
              </w:rPr>
              <w:t xml:space="preserve">Származtatott </w:t>
            </w:r>
            <w:r>
              <w:rPr>
                <w:rFonts w:ascii="Arial" w:hAnsi="Arial" w:cs="Arial"/>
                <w:sz w:val="20"/>
                <w:szCs w:val="20"/>
              </w:rPr>
              <w:t>ügyletek</w:t>
            </w:r>
          </w:p>
        </w:tc>
        <w:tc>
          <w:tcPr>
            <w:tcW w:w="4082" w:type="dxa"/>
            <w:shd w:val="clear" w:color="auto" w:fill="auto"/>
            <w:tcMar>
              <w:top w:w="85" w:type="dxa"/>
            </w:tcMar>
            <w:vAlign w:val="center"/>
          </w:tcPr>
          <w:p w14:paraId="6E2CCCFB" w14:textId="0E153E99" w:rsidR="00617806" w:rsidRPr="00191B6F" w:rsidRDefault="006A03DE" w:rsidP="00883E29">
            <w:pPr>
              <w:contextualSpacing/>
              <w:jc w:val="both"/>
              <w:rPr>
                <w:rFonts w:ascii="Arial" w:hAnsi="Arial" w:cs="Arial"/>
                <w:sz w:val="20"/>
                <w:szCs w:val="20"/>
              </w:rPr>
            </w:pPr>
            <w:r>
              <w:rPr>
                <w:rFonts w:ascii="Arial" w:hAnsi="Arial" w:cs="Arial"/>
                <w:sz w:val="20"/>
                <w:szCs w:val="20"/>
              </w:rPr>
              <w:t>(EU) 2021/451</w:t>
            </w:r>
            <w:r w:rsidR="00617806">
              <w:rPr>
                <w:rFonts w:ascii="Arial" w:hAnsi="Arial" w:cs="Arial"/>
                <w:sz w:val="20"/>
                <w:szCs w:val="20"/>
              </w:rPr>
              <w:t xml:space="preserve"> bizottsági végrehajtási rendelet</w:t>
            </w:r>
            <w:r w:rsidR="00617806" w:rsidRPr="00191B6F">
              <w:rPr>
                <w:rFonts w:ascii="Arial" w:hAnsi="Arial" w:cs="Arial"/>
                <w:sz w:val="20"/>
                <w:szCs w:val="20"/>
              </w:rPr>
              <w:t xml:space="preserve"> </w:t>
            </w:r>
            <w:r w:rsidR="00617806">
              <w:rPr>
                <w:rFonts w:ascii="Arial" w:hAnsi="Arial" w:cs="Arial"/>
                <w:sz w:val="20"/>
                <w:szCs w:val="20"/>
              </w:rPr>
              <w:t>I</w:t>
            </w:r>
            <w:r w:rsidR="00B81C6A">
              <w:rPr>
                <w:rFonts w:ascii="Arial" w:hAnsi="Arial" w:cs="Arial"/>
                <w:sz w:val="20"/>
                <w:szCs w:val="20"/>
              </w:rPr>
              <w:t>II</w:t>
            </w:r>
            <w:r w:rsidR="00617806">
              <w:rPr>
                <w:rFonts w:ascii="Arial" w:hAnsi="Arial" w:cs="Arial"/>
                <w:sz w:val="20"/>
                <w:szCs w:val="20"/>
              </w:rPr>
              <w:t>. melléklet</w:t>
            </w:r>
            <w:r w:rsidR="00617806" w:rsidRPr="00191B6F">
              <w:rPr>
                <w:rFonts w:ascii="Arial" w:hAnsi="Arial" w:cs="Arial"/>
                <w:sz w:val="20"/>
                <w:szCs w:val="20"/>
              </w:rPr>
              <w:t xml:space="preserve"> F</w:t>
            </w:r>
            <w:r w:rsidR="00617806">
              <w:rPr>
                <w:rFonts w:ascii="Arial" w:hAnsi="Arial" w:cs="Arial"/>
                <w:sz w:val="20"/>
                <w:szCs w:val="20"/>
              </w:rPr>
              <w:t xml:space="preserve"> </w:t>
            </w:r>
            <w:r w:rsidR="00617806" w:rsidRPr="00191B6F">
              <w:rPr>
                <w:rFonts w:ascii="Arial" w:hAnsi="Arial" w:cs="Arial"/>
                <w:sz w:val="20"/>
                <w:szCs w:val="20"/>
              </w:rPr>
              <w:t xml:space="preserve">01.02 tábla, </w:t>
            </w:r>
            <w:r w:rsidR="00CE1C46">
              <w:rPr>
                <w:rFonts w:ascii="Arial" w:hAnsi="Arial" w:cs="Arial"/>
                <w:sz w:val="20"/>
                <w:szCs w:val="20"/>
              </w:rPr>
              <w:t>0</w:t>
            </w:r>
            <w:r w:rsidR="00617806" w:rsidRPr="00191B6F">
              <w:rPr>
                <w:rFonts w:ascii="Arial" w:hAnsi="Arial" w:cs="Arial"/>
                <w:sz w:val="20"/>
                <w:szCs w:val="20"/>
              </w:rPr>
              <w:t>020</w:t>
            </w:r>
            <w:r w:rsidR="00617806">
              <w:rPr>
                <w:rFonts w:ascii="Arial" w:hAnsi="Arial" w:cs="Arial"/>
                <w:sz w:val="20"/>
                <w:szCs w:val="20"/>
              </w:rPr>
              <w:t>.+</w:t>
            </w:r>
            <w:r w:rsidR="00CE1C46">
              <w:rPr>
                <w:rFonts w:ascii="Arial" w:hAnsi="Arial" w:cs="Arial"/>
                <w:sz w:val="20"/>
                <w:szCs w:val="20"/>
              </w:rPr>
              <w:t>0</w:t>
            </w:r>
            <w:r w:rsidR="00617806" w:rsidRPr="00191B6F">
              <w:rPr>
                <w:rFonts w:ascii="Arial" w:hAnsi="Arial" w:cs="Arial"/>
                <w:sz w:val="20"/>
                <w:szCs w:val="20"/>
              </w:rPr>
              <w:t>150</w:t>
            </w:r>
            <w:r w:rsidR="00617806">
              <w:rPr>
                <w:rFonts w:ascii="Arial" w:hAnsi="Arial" w:cs="Arial"/>
                <w:sz w:val="20"/>
                <w:szCs w:val="20"/>
              </w:rPr>
              <w:t>.</w:t>
            </w:r>
            <w:r w:rsidR="00617806" w:rsidRPr="00191B6F">
              <w:rPr>
                <w:rFonts w:ascii="Arial" w:hAnsi="Arial" w:cs="Arial"/>
                <w:sz w:val="20"/>
                <w:szCs w:val="20"/>
              </w:rPr>
              <w:t xml:space="preserve"> sor, </w:t>
            </w:r>
            <w:r w:rsidR="00CE1C46">
              <w:rPr>
                <w:rFonts w:ascii="Arial" w:hAnsi="Arial" w:cs="Arial"/>
                <w:sz w:val="20"/>
                <w:szCs w:val="20"/>
              </w:rPr>
              <w:t>0</w:t>
            </w:r>
            <w:r w:rsidR="00617806" w:rsidRPr="00191B6F">
              <w:rPr>
                <w:rFonts w:ascii="Arial" w:hAnsi="Arial" w:cs="Arial"/>
                <w:sz w:val="20"/>
                <w:szCs w:val="20"/>
              </w:rPr>
              <w:t>010</w:t>
            </w:r>
            <w:r w:rsidR="00617806">
              <w:rPr>
                <w:rFonts w:ascii="Arial" w:hAnsi="Arial" w:cs="Arial"/>
                <w:sz w:val="20"/>
                <w:szCs w:val="20"/>
              </w:rPr>
              <w:t>.</w:t>
            </w:r>
            <w:r w:rsidR="00617806" w:rsidRPr="00191B6F">
              <w:rPr>
                <w:rFonts w:ascii="Arial" w:hAnsi="Arial" w:cs="Arial"/>
                <w:sz w:val="20"/>
                <w:szCs w:val="20"/>
              </w:rPr>
              <w:t xml:space="preserve"> oszlop</w:t>
            </w:r>
          </w:p>
        </w:tc>
      </w:tr>
      <w:tr w:rsidR="00617806" w:rsidRPr="00191B6F" w14:paraId="6D0A9B36" w14:textId="77777777" w:rsidTr="00D23413">
        <w:tc>
          <w:tcPr>
            <w:tcW w:w="959" w:type="dxa"/>
            <w:shd w:val="clear" w:color="auto" w:fill="auto"/>
            <w:tcMar>
              <w:top w:w="85" w:type="dxa"/>
            </w:tcMar>
            <w:vAlign w:val="center"/>
          </w:tcPr>
          <w:p w14:paraId="478F1CF8" w14:textId="77777777" w:rsidR="00617806" w:rsidRPr="00191B6F" w:rsidRDefault="00617806" w:rsidP="00617806">
            <w:pPr>
              <w:contextualSpacing/>
              <w:rPr>
                <w:rFonts w:ascii="Arial" w:hAnsi="Arial" w:cs="Arial"/>
                <w:sz w:val="20"/>
                <w:szCs w:val="20"/>
              </w:rPr>
            </w:pPr>
            <w:r w:rsidRPr="00191B6F">
              <w:rPr>
                <w:rFonts w:ascii="Arial" w:hAnsi="Arial" w:cs="Arial"/>
                <w:sz w:val="20"/>
                <w:szCs w:val="20"/>
              </w:rPr>
              <w:t>370</w:t>
            </w:r>
          </w:p>
        </w:tc>
        <w:tc>
          <w:tcPr>
            <w:tcW w:w="1276" w:type="dxa"/>
            <w:vAlign w:val="center"/>
          </w:tcPr>
          <w:p w14:paraId="58573EB1" w14:textId="2BFD3247" w:rsidR="00617806" w:rsidRPr="00191B6F" w:rsidRDefault="00617806" w:rsidP="00617806">
            <w:pPr>
              <w:contextualSpacing/>
              <w:rPr>
                <w:rFonts w:ascii="Arial" w:hAnsi="Arial" w:cs="Arial"/>
                <w:sz w:val="20"/>
                <w:szCs w:val="20"/>
              </w:rPr>
            </w:pPr>
            <w:r>
              <w:rPr>
                <w:rFonts w:ascii="Arial" w:hAnsi="Arial" w:cs="Arial"/>
                <w:sz w:val="20"/>
                <w:szCs w:val="20"/>
              </w:rPr>
              <w:t>1.</w:t>
            </w:r>
            <w:r w:rsidR="00B31404">
              <w:rPr>
                <w:rFonts w:ascii="Arial" w:hAnsi="Arial" w:cs="Arial"/>
                <w:sz w:val="20"/>
                <w:szCs w:val="20"/>
              </w:rPr>
              <w:t>12.</w:t>
            </w:r>
          </w:p>
        </w:tc>
        <w:tc>
          <w:tcPr>
            <w:tcW w:w="3147" w:type="dxa"/>
            <w:shd w:val="clear" w:color="auto" w:fill="auto"/>
            <w:tcMar>
              <w:top w:w="85" w:type="dxa"/>
            </w:tcMar>
            <w:vAlign w:val="center"/>
          </w:tcPr>
          <w:p w14:paraId="260CFC05" w14:textId="77777777" w:rsidR="00617806" w:rsidRPr="00191B6F" w:rsidRDefault="00617806" w:rsidP="00617806">
            <w:pPr>
              <w:contextualSpacing/>
              <w:rPr>
                <w:rFonts w:ascii="Arial" w:hAnsi="Arial" w:cs="Arial"/>
                <w:sz w:val="20"/>
                <w:szCs w:val="20"/>
              </w:rPr>
            </w:pPr>
            <w:r w:rsidRPr="00191B6F">
              <w:rPr>
                <w:rFonts w:ascii="Arial" w:hAnsi="Arial" w:cs="Arial"/>
                <w:sz w:val="20"/>
                <w:szCs w:val="20"/>
              </w:rPr>
              <w:t>Saját tőke</w:t>
            </w:r>
          </w:p>
        </w:tc>
        <w:tc>
          <w:tcPr>
            <w:tcW w:w="4082" w:type="dxa"/>
            <w:shd w:val="clear" w:color="auto" w:fill="auto"/>
            <w:tcMar>
              <w:top w:w="85" w:type="dxa"/>
            </w:tcMar>
            <w:vAlign w:val="center"/>
          </w:tcPr>
          <w:p w14:paraId="5B2D1EFC" w14:textId="689B151E" w:rsidR="00617806" w:rsidRPr="00191B6F" w:rsidRDefault="006A03DE" w:rsidP="00883E29">
            <w:pPr>
              <w:contextualSpacing/>
              <w:jc w:val="both"/>
              <w:rPr>
                <w:rFonts w:ascii="Arial" w:hAnsi="Arial" w:cs="Arial"/>
                <w:sz w:val="20"/>
                <w:szCs w:val="20"/>
              </w:rPr>
            </w:pPr>
            <w:r>
              <w:rPr>
                <w:rFonts w:ascii="Arial" w:hAnsi="Arial" w:cs="Arial"/>
                <w:sz w:val="20"/>
                <w:szCs w:val="20"/>
              </w:rPr>
              <w:t>(EU) 2021/451</w:t>
            </w:r>
            <w:r w:rsidR="00617806">
              <w:rPr>
                <w:rFonts w:ascii="Arial" w:hAnsi="Arial" w:cs="Arial"/>
                <w:sz w:val="20"/>
                <w:szCs w:val="20"/>
              </w:rPr>
              <w:t xml:space="preserve"> bizottsági végrehajtási rendelet</w:t>
            </w:r>
            <w:r w:rsidR="00617806" w:rsidRPr="00191B6F">
              <w:rPr>
                <w:rFonts w:ascii="Arial" w:hAnsi="Arial" w:cs="Arial"/>
                <w:sz w:val="20"/>
                <w:szCs w:val="20"/>
              </w:rPr>
              <w:t xml:space="preserve"> </w:t>
            </w:r>
            <w:r w:rsidR="00617806">
              <w:rPr>
                <w:rFonts w:ascii="Arial" w:hAnsi="Arial" w:cs="Arial"/>
                <w:sz w:val="20"/>
                <w:szCs w:val="20"/>
              </w:rPr>
              <w:t>I</w:t>
            </w:r>
            <w:r w:rsidR="00B81C6A">
              <w:rPr>
                <w:rFonts w:ascii="Arial" w:hAnsi="Arial" w:cs="Arial"/>
                <w:sz w:val="20"/>
                <w:szCs w:val="20"/>
              </w:rPr>
              <w:t>II</w:t>
            </w:r>
            <w:r w:rsidR="00617806">
              <w:rPr>
                <w:rFonts w:ascii="Arial" w:hAnsi="Arial" w:cs="Arial"/>
                <w:sz w:val="20"/>
                <w:szCs w:val="20"/>
              </w:rPr>
              <w:t>. melléklet</w:t>
            </w:r>
            <w:r w:rsidR="00617806" w:rsidRPr="00191B6F">
              <w:rPr>
                <w:rFonts w:ascii="Arial" w:hAnsi="Arial" w:cs="Arial"/>
                <w:sz w:val="20"/>
                <w:szCs w:val="20"/>
              </w:rPr>
              <w:t xml:space="preserve"> F</w:t>
            </w:r>
            <w:r w:rsidR="00617806">
              <w:rPr>
                <w:rFonts w:ascii="Arial" w:hAnsi="Arial" w:cs="Arial"/>
                <w:sz w:val="20"/>
                <w:szCs w:val="20"/>
              </w:rPr>
              <w:t xml:space="preserve"> </w:t>
            </w:r>
            <w:r w:rsidR="00617806" w:rsidRPr="00191B6F">
              <w:rPr>
                <w:rFonts w:ascii="Arial" w:hAnsi="Arial" w:cs="Arial"/>
                <w:sz w:val="20"/>
                <w:szCs w:val="20"/>
              </w:rPr>
              <w:t xml:space="preserve">01.03 tábla, </w:t>
            </w:r>
            <w:r w:rsidR="00CE1C46">
              <w:rPr>
                <w:rFonts w:ascii="Arial" w:hAnsi="Arial" w:cs="Arial"/>
                <w:sz w:val="20"/>
                <w:szCs w:val="20"/>
              </w:rPr>
              <w:t>0</w:t>
            </w:r>
            <w:r w:rsidR="00617806" w:rsidRPr="00191B6F">
              <w:rPr>
                <w:rFonts w:ascii="Arial" w:hAnsi="Arial" w:cs="Arial"/>
                <w:sz w:val="20"/>
                <w:szCs w:val="20"/>
              </w:rPr>
              <w:t>300</w:t>
            </w:r>
            <w:r w:rsidR="00617806">
              <w:rPr>
                <w:rFonts w:ascii="Arial" w:hAnsi="Arial" w:cs="Arial"/>
                <w:sz w:val="20"/>
                <w:szCs w:val="20"/>
              </w:rPr>
              <w:t>.</w:t>
            </w:r>
            <w:r w:rsidR="00617806" w:rsidRPr="00191B6F">
              <w:rPr>
                <w:rFonts w:ascii="Arial" w:hAnsi="Arial" w:cs="Arial"/>
                <w:sz w:val="20"/>
                <w:szCs w:val="20"/>
              </w:rPr>
              <w:t xml:space="preserve"> sor, </w:t>
            </w:r>
            <w:r w:rsidR="00CE1C46">
              <w:rPr>
                <w:rFonts w:ascii="Arial" w:hAnsi="Arial" w:cs="Arial"/>
                <w:sz w:val="20"/>
                <w:szCs w:val="20"/>
              </w:rPr>
              <w:t>0</w:t>
            </w:r>
            <w:r w:rsidR="00617806" w:rsidRPr="00191B6F">
              <w:rPr>
                <w:rFonts w:ascii="Arial" w:hAnsi="Arial" w:cs="Arial"/>
                <w:sz w:val="20"/>
                <w:szCs w:val="20"/>
              </w:rPr>
              <w:t>010</w:t>
            </w:r>
            <w:r w:rsidR="00617806">
              <w:rPr>
                <w:rFonts w:ascii="Arial" w:hAnsi="Arial" w:cs="Arial"/>
                <w:sz w:val="20"/>
                <w:szCs w:val="20"/>
              </w:rPr>
              <w:t>.</w:t>
            </w:r>
            <w:r w:rsidR="00617806" w:rsidRPr="00191B6F">
              <w:rPr>
                <w:rFonts w:ascii="Arial" w:hAnsi="Arial" w:cs="Arial"/>
                <w:sz w:val="20"/>
                <w:szCs w:val="20"/>
              </w:rPr>
              <w:t xml:space="preserve"> oszlop</w:t>
            </w:r>
          </w:p>
        </w:tc>
      </w:tr>
      <w:tr w:rsidR="00A763E0" w:rsidRPr="00191B6F" w14:paraId="31F0D374" w14:textId="77777777" w:rsidTr="00D23413">
        <w:tc>
          <w:tcPr>
            <w:tcW w:w="959" w:type="dxa"/>
            <w:shd w:val="clear" w:color="auto" w:fill="auto"/>
            <w:tcMar>
              <w:top w:w="85" w:type="dxa"/>
            </w:tcMar>
            <w:vAlign w:val="center"/>
          </w:tcPr>
          <w:p w14:paraId="78482462" w14:textId="4C264B2A" w:rsidR="00A763E0" w:rsidRPr="00191B6F" w:rsidRDefault="00A763E0" w:rsidP="00617806">
            <w:pPr>
              <w:contextualSpacing/>
              <w:rPr>
                <w:rFonts w:ascii="Arial" w:hAnsi="Arial" w:cs="Arial"/>
                <w:sz w:val="20"/>
                <w:szCs w:val="20"/>
              </w:rPr>
            </w:pPr>
            <w:r w:rsidRPr="00191B6F">
              <w:rPr>
                <w:rFonts w:ascii="Arial" w:hAnsi="Arial" w:cs="Arial"/>
                <w:sz w:val="20"/>
                <w:szCs w:val="20"/>
              </w:rPr>
              <w:t>38</w:t>
            </w:r>
            <w:r>
              <w:rPr>
                <w:rFonts w:ascii="Arial" w:hAnsi="Arial" w:cs="Arial"/>
                <w:sz w:val="20"/>
                <w:szCs w:val="20"/>
              </w:rPr>
              <w:t>1</w:t>
            </w:r>
          </w:p>
        </w:tc>
        <w:tc>
          <w:tcPr>
            <w:tcW w:w="1276" w:type="dxa"/>
            <w:vAlign w:val="center"/>
          </w:tcPr>
          <w:p w14:paraId="02A8A9F5" w14:textId="2DCB9359" w:rsidR="00A763E0" w:rsidRDefault="00A763E0" w:rsidP="00617806">
            <w:pPr>
              <w:contextualSpacing/>
              <w:rPr>
                <w:rFonts w:ascii="Arial" w:hAnsi="Arial" w:cs="Arial"/>
                <w:sz w:val="20"/>
                <w:szCs w:val="20"/>
              </w:rPr>
            </w:pPr>
            <w:r>
              <w:rPr>
                <w:rFonts w:ascii="Arial" w:hAnsi="Arial" w:cs="Arial"/>
                <w:sz w:val="20"/>
                <w:szCs w:val="20"/>
              </w:rPr>
              <w:t>1.13.</w:t>
            </w:r>
          </w:p>
        </w:tc>
        <w:tc>
          <w:tcPr>
            <w:tcW w:w="3147" w:type="dxa"/>
            <w:shd w:val="clear" w:color="auto" w:fill="auto"/>
            <w:tcMar>
              <w:top w:w="85" w:type="dxa"/>
            </w:tcMar>
            <w:vAlign w:val="center"/>
          </w:tcPr>
          <w:p w14:paraId="1B8CD447" w14:textId="2E9AD84B" w:rsidR="00A763E0" w:rsidRPr="00191B6F" w:rsidRDefault="00A763E0" w:rsidP="00617806">
            <w:pPr>
              <w:contextualSpacing/>
              <w:rPr>
                <w:rFonts w:ascii="Arial" w:hAnsi="Arial" w:cs="Arial"/>
                <w:sz w:val="20"/>
                <w:szCs w:val="20"/>
              </w:rPr>
            </w:pPr>
            <w:r w:rsidRPr="00191B6F">
              <w:rPr>
                <w:rFonts w:ascii="Arial" w:hAnsi="Arial" w:cs="Arial"/>
                <w:sz w:val="20"/>
                <w:szCs w:val="20"/>
              </w:rPr>
              <w:t>Egyéb kötelezettségek</w:t>
            </w:r>
          </w:p>
        </w:tc>
        <w:tc>
          <w:tcPr>
            <w:tcW w:w="4082" w:type="dxa"/>
            <w:shd w:val="clear" w:color="auto" w:fill="auto"/>
            <w:tcMar>
              <w:top w:w="85" w:type="dxa"/>
            </w:tcMar>
            <w:vAlign w:val="center"/>
          </w:tcPr>
          <w:p w14:paraId="04B86B16" w14:textId="25A33E5D" w:rsidR="00A763E0" w:rsidRDefault="00A763E0" w:rsidP="00883E29">
            <w:pPr>
              <w:contextualSpacing/>
              <w:jc w:val="both"/>
              <w:rPr>
                <w:rFonts w:ascii="Arial" w:hAnsi="Arial" w:cs="Arial"/>
                <w:sz w:val="20"/>
                <w:szCs w:val="20"/>
              </w:rPr>
            </w:pPr>
            <w:r>
              <w:rPr>
                <w:rFonts w:ascii="Arial" w:hAnsi="Arial" w:cs="Arial"/>
                <w:sz w:val="20"/>
                <w:szCs w:val="20"/>
              </w:rPr>
              <w:t>381</w:t>
            </w:r>
            <w:r w:rsidR="002F2985">
              <w:rPr>
                <w:rFonts w:ascii="Arial" w:hAnsi="Arial" w:cs="Arial"/>
                <w:sz w:val="20"/>
                <w:szCs w:val="20"/>
              </w:rPr>
              <w:t xml:space="preserve"> </w:t>
            </w:r>
            <w:r>
              <w:rPr>
                <w:rFonts w:ascii="Arial" w:hAnsi="Arial" w:cs="Arial"/>
                <w:sz w:val="20"/>
                <w:szCs w:val="20"/>
              </w:rPr>
              <w:t>= 390</w:t>
            </w:r>
            <w:r w:rsidR="002F2985">
              <w:rPr>
                <w:rFonts w:ascii="Arial" w:hAnsi="Arial" w:cs="Arial"/>
                <w:sz w:val="20"/>
                <w:szCs w:val="20"/>
              </w:rPr>
              <w:t xml:space="preserve"> </w:t>
            </w:r>
            <w:r>
              <w:rPr>
                <w:rFonts w:ascii="Arial" w:hAnsi="Arial" w:cs="Arial"/>
                <w:sz w:val="20"/>
                <w:szCs w:val="20"/>
              </w:rPr>
              <w:t xml:space="preserve">- 010 – 020 - 060 </w:t>
            </w:r>
            <w:r w:rsidR="002F2985">
              <w:rPr>
                <w:rFonts w:ascii="Arial" w:hAnsi="Arial" w:cs="Arial"/>
                <w:sz w:val="20"/>
                <w:szCs w:val="20"/>
              </w:rPr>
              <w:t>–</w:t>
            </w:r>
            <w:r>
              <w:rPr>
                <w:rFonts w:ascii="Arial" w:hAnsi="Arial" w:cs="Arial"/>
                <w:sz w:val="20"/>
                <w:szCs w:val="20"/>
              </w:rPr>
              <w:t xml:space="preserve"> </w:t>
            </w:r>
            <w:r w:rsidR="002F2985">
              <w:rPr>
                <w:rFonts w:ascii="Arial" w:hAnsi="Arial" w:cs="Arial"/>
                <w:sz w:val="20"/>
                <w:szCs w:val="20"/>
              </w:rPr>
              <w:t xml:space="preserve">130 – 140 – 145 – 147 – 340 – 360 </w:t>
            </w:r>
          </w:p>
        </w:tc>
      </w:tr>
      <w:tr w:rsidR="00617806" w:rsidRPr="00191B6F" w14:paraId="7EBEE5A4" w14:textId="77777777" w:rsidTr="00D23413">
        <w:tc>
          <w:tcPr>
            <w:tcW w:w="959" w:type="dxa"/>
            <w:shd w:val="clear" w:color="auto" w:fill="auto"/>
            <w:tcMar>
              <w:top w:w="85" w:type="dxa"/>
            </w:tcMar>
            <w:vAlign w:val="center"/>
          </w:tcPr>
          <w:p w14:paraId="66CFFE08" w14:textId="77777777" w:rsidR="00617806" w:rsidRPr="00191B6F" w:rsidRDefault="00617806" w:rsidP="00617806">
            <w:pPr>
              <w:contextualSpacing/>
              <w:rPr>
                <w:rFonts w:ascii="Arial" w:hAnsi="Arial" w:cs="Arial"/>
                <w:sz w:val="20"/>
                <w:szCs w:val="20"/>
              </w:rPr>
            </w:pPr>
            <w:r w:rsidRPr="00191B6F">
              <w:rPr>
                <w:rFonts w:ascii="Arial" w:hAnsi="Arial" w:cs="Arial"/>
                <w:sz w:val="20"/>
                <w:szCs w:val="20"/>
              </w:rPr>
              <w:lastRenderedPageBreak/>
              <w:t>390</w:t>
            </w:r>
          </w:p>
        </w:tc>
        <w:tc>
          <w:tcPr>
            <w:tcW w:w="1276" w:type="dxa"/>
            <w:vAlign w:val="center"/>
          </w:tcPr>
          <w:p w14:paraId="54516613" w14:textId="225FBE78" w:rsidR="00617806" w:rsidRPr="00191B6F" w:rsidRDefault="00617806" w:rsidP="00617806">
            <w:pPr>
              <w:contextualSpacing/>
              <w:rPr>
                <w:rFonts w:ascii="Arial" w:hAnsi="Arial" w:cs="Arial"/>
                <w:sz w:val="20"/>
                <w:szCs w:val="20"/>
              </w:rPr>
            </w:pPr>
            <w:r>
              <w:rPr>
                <w:rFonts w:ascii="Arial" w:hAnsi="Arial" w:cs="Arial"/>
                <w:sz w:val="20"/>
                <w:szCs w:val="20"/>
              </w:rPr>
              <w:t>1.</w:t>
            </w:r>
            <w:r w:rsidR="00535018">
              <w:rPr>
                <w:rFonts w:ascii="Arial" w:hAnsi="Arial" w:cs="Arial"/>
                <w:sz w:val="20"/>
                <w:szCs w:val="20"/>
              </w:rPr>
              <w:t xml:space="preserve">14. </w:t>
            </w:r>
          </w:p>
        </w:tc>
        <w:tc>
          <w:tcPr>
            <w:tcW w:w="3147" w:type="dxa"/>
            <w:shd w:val="clear" w:color="auto" w:fill="auto"/>
            <w:tcMar>
              <w:top w:w="85" w:type="dxa"/>
            </w:tcMar>
            <w:vAlign w:val="center"/>
          </w:tcPr>
          <w:p w14:paraId="51C5D9B1" w14:textId="4E1AC554" w:rsidR="00617806" w:rsidRPr="00191B6F" w:rsidRDefault="002F2985" w:rsidP="00E914E6">
            <w:pPr>
              <w:contextualSpacing/>
              <w:jc w:val="both"/>
              <w:rPr>
                <w:rFonts w:ascii="Arial" w:hAnsi="Arial" w:cs="Arial"/>
                <w:sz w:val="20"/>
                <w:szCs w:val="20"/>
              </w:rPr>
            </w:pPr>
            <w:r w:rsidRPr="002F2985">
              <w:rPr>
                <w:rFonts w:ascii="Arial" w:hAnsi="Arial" w:cs="Arial"/>
                <w:sz w:val="20"/>
                <w:szCs w:val="20"/>
              </w:rPr>
              <w:t>Kötelezettségek és saját tőke</w:t>
            </w:r>
            <w:r>
              <w:rPr>
                <w:rFonts w:ascii="Arial" w:hAnsi="Arial" w:cs="Arial"/>
                <w:sz w:val="20"/>
                <w:szCs w:val="20"/>
              </w:rPr>
              <w:t xml:space="preserve"> </w:t>
            </w:r>
            <w:r w:rsidR="00617806" w:rsidRPr="00191B6F">
              <w:rPr>
                <w:rFonts w:ascii="Arial" w:hAnsi="Arial" w:cs="Arial"/>
                <w:sz w:val="20"/>
                <w:szCs w:val="20"/>
              </w:rPr>
              <w:t>összesen</w:t>
            </w:r>
          </w:p>
        </w:tc>
        <w:tc>
          <w:tcPr>
            <w:tcW w:w="4082" w:type="dxa"/>
            <w:shd w:val="clear" w:color="auto" w:fill="auto"/>
            <w:tcMar>
              <w:top w:w="85" w:type="dxa"/>
            </w:tcMar>
            <w:vAlign w:val="center"/>
          </w:tcPr>
          <w:p w14:paraId="2E3D3FA2" w14:textId="5396021C" w:rsidR="00617806" w:rsidRPr="00191B6F" w:rsidRDefault="006A03DE" w:rsidP="00883E29">
            <w:pPr>
              <w:contextualSpacing/>
              <w:jc w:val="both"/>
              <w:rPr>
                <w:rFonts w:ascii="Arial" w:hAnsi="Arial" w:cs="Arial"/>
                <w:sz w:val="20"/>
                <w:szCs w:val="20"/>
              </w:rPr>
            </w:pPr>
            <w:r>
              <w:rPr>
                <w:rFonts w:ascii="Arial" w:hAnsi="Arial" w:cs="Arial"/>
                <w:sz w:val="20"/>
                <w:szCs w:val="20"/>
              </w:rPr>
              <w:t>(EU) 2021/451</w:t>
            </w:r>
            <w:r w:rsidR="00617806">
              <w:rPr>
                <w:rFonts w:ascii="Arial" w:hAnsi="Arial" w:cs="Arial"/>
                <w:sz w:val="20"/>
                <w:szCs w:val="20"/>
              </w:rPr>
              <w:t xml:space="preserve"> bizottsági végrehajtási rendelet</w:t>
            </w:r>
            <w:r w:rsidR="00617806" w:rsidRPr="00191B6F">
              <w:rPr>
                <w:rFonts w:ascii="Arial" w:hAnsi="Arial" w:cs="Arial"/>
                <w:sz w:val="20"/>
                <w:szCs w:val="20"/>
              </w:rPr>
              <w:t xml:space="preserve"> </w:t>
            </w:r>
            <w:r w:rsidR="00617806">
              <w:rPr>
                <w:rFonts w:ascii="Arial" w:hAnsi="Arial" w:cs="Arial"/>
                <w:sz w:val="20"/>
                <w:szCs w:val="20"/>
              </w:rPr>
              <w:t>I</w:t>
            </w:r>
            <w:r w:rsidR="00B81C6A">
              <w:rPr>
                <w:rFonts w:ascii="Arial" w:hAnsi="Arial" w:cs="Arial"/>
                <w:sz w:val="20"/>
                <w:szCs w:val="20"/>
              </w:rPr>
              <w:t>II</w:t>
            </w:r>
            <w:r w:rsidR="00617806">
              <w:rPr>
                <w:rFonts w:ascii="Arial" w:hAnsi="Arial" w:cs="Arial"/>
                <w:sz w:val="20"/>
                <w:szCs w:val="20"/>
              </w:rPr>
              <w:t>. melléklet</w:t>
            </w:r>
            <w:r w:rsidR="00617806" w:rsidRPr="00191B6F">
              <w:rPr>
                <w:rFonts w:ascii="Arial" w:hAnsi="Arial" w:cs="Arial"/>
                <w:sz w:val="20"/>
                <w:szCs w:val="20"/>
              </w:rPr>
              <w:t xml:space="preserve"> F</w:t>
            </w:r>
            <w:r w:rsidR="00617806">
              <w:rPr>
                <w:rFonts w:ascii="Arial" w:hAnsi="Arial" w:cs="Arial"/>
                <w:sz w:val="20"/>
                <w:szCs w:val="20"/>
              </w:rPr>
              <w:t xml:space="preserve"> </w:t>
            </w:r>
            <w:r w:rsidR="00617806" w:rsidRPr="00191B6F">
              <w:rPr>
                <w:rFonts w:ascii="Arial" w:hAnsi="Arial" w:cs="Arial"/>
                <w:sz w:val="20"/>
                <w:szCs w:val="20"/>
              </w:rPr>
              <w:t xml:space="preserve">01.03 tábla, </w:t>
            </w:r>
            <w:r w:rsidR="00CE1C46">
              <w:rPr>
                <w:rFonts w:ascii="Arial" w:hAnsi="Arial" w:cs="Arial"/>
                <w:sz w:val="20"/>
                <w:szCs w:val="20"/>
              </w:rPr>
              <w:t>0</w:t>
            </w:r>
            <w:r w:rsidR="00617806" w:rsidRPr="00191B6F">
              <w:rPr>
                <w:rFonts w:ascii="Arial" w:hAnsi="Arial" w:cs="Arial"/>
                <w:sz w:val="20"/>
                <w:szCs w:val="20"/>
              </w:rPr>
              <w:t>310</w:t>
            </w:r>
            <w:r w:rsidR="00617806">
              <w:rPr>
                <w:rFonts w:ascii="Arial" w:hAnsi="Arial" w:cs="Arial"/>
                <w:sz w:val="20"/>
                <w:szCs w:val="20"/>
              </w:rPr>
              <w:t>.</w:t>
            </w:r>
            <w:r w:rsidR="00617806" w:rsidRPr="00191B6F">
              <w:rPr>
                <w:rFonts w:ascii="Arial" w:hAnsi="Arial" w:cs="Arial"/>
                <w:sz w:val="20"/>
                <w:szCs w:val="20"/>
              </w:rPr>
              <w:t xml:space="preserve"> sor, </w:t>
            </w:r>
            <w:r w:rsidR="00CE1C46">
              <w:rPr>
                <w:rFonts w:ascii="Arial" w:hAnsi="Arial" w:cs="Arial"/>
                <w:sz w:val="20"/>
                <w:szCs w:val="20"/>
              </w:rPr>
              <w:t>0</w:t>
            </w:r>
            <w:r w:rsidR="00617806" w:rsidRPr="00191B6F">
              <w:rPr>
                <w:rFonts w:ascii="Arial" w:hAnsi="Arial" w:cs="Arial"/>
                <w:sz w:val="20"/>
                <w:szCs w:val="20"/>
              </w:rPr>
              <w:t>010</w:t>
            </w:r>
            <w:r w:rsidR="00617806">
              <w:rPr>
                <w:rFonts w:ascii="Arial" w:hAnsi="Arial" w:cs="Arial"/>
                <w:sz w:val="20"/>
                <w:szCs w:val="20"/>
              </w:rPr>
              <w:t>.</w:t>
            </w:r>
            <w:r w:rsidR="00617806" w:rsidRPr="00191B6F">
              <w:rPr>
                <w:rFonts w:ascii="Arial" w:hAnsi="Arial" w:cs="Arial"/>
                <w:sz w:val="20"/>
                <w:szCs w:val="20"/>
              </w:rPr>
              <w:t xml:space="preserve"> oszlop</w:t>
            </w:r>
          </w:p>
        </w:tc>
      </w:tr>
      <w:tr w:rsidR="00617806" w:rsidRPr="00191B6F" w14:paraId="779A487A" w14:textId="77777777" w:rsidTr="00D23413">
        <w:tc>
          <w:tcPr>
            <w:tcW w:w="959" w:type="dxa"/>
            <w:shd w:val="clear" w:color="auto" w:fill="auto"/>
            <w:tcMar>
              <w:top w:w="85" w:type="dxa"/>
            </w:tcMar>
            <w:vAlign w:val="center"/>
          </w:tcPr>
          <w:p w14:paraId="7C7CC2D4" w14:textId="77777777" w:rsidR="00617806" w:rsidRPr="00191B6F" w:rsidRDefault="00617806" w:rsidP="00617806">
            <w:pPr>
              <w:contextualSpacing/>
              <w:rPr>
                <w:rFonts w:ascii="Arial" w:hAnsi="Arial" w:cs="Arial"/>
                <w:sz w:val="20"/>
                <w:szCs w:val="20"/>
              </w:rPr>
            </w:pPr>
            <w:r w:rsidRPr="00191B6F">
              <w:rPr>
                <w:rFonts w:ascii="Arial" w:hAnsi="Arial" w:cs="Arial"/>
                <w:sz w:val="20"/>
                <w:szCs w:val="20"/>
              </w:rPr>
              <w:t>400</w:t>
            </w:r>
          </w:p>
        </w:tc>
        <w:tc>
          <w:tcPr>
            <w:tcW w:w="1276" w:type="dxa"/>
            <w:vAlign w:val="center"/>
          </w:tcPr>
          <w:p w14:paraId="594B41C4" w14:textId="4C98C448" w:rsidR="00617806" w:rsidRPr="00191B6F" w:rsidRDefault="00535018" w:rsidP="00617806">
            <w:pPr>
              <w:contextualSpacing/>
              <w:rPr>
                <w:rFonts w:ascii="Arial" w:hAnsi="Arial" w:cs="Arial"/>
                <w:sz w:val="20"/>
                <w:szCs w:val="20"/>
              </w:rPr>
            </w:pPr>
            <w:r>
              <w:rPr>
                <w:rFonts w:ascii="Arial" w:hAnsi="Arial" w:cs="Arial"/>
                <w:sz w:val="20"/>
                <w:szCs w:val="20"/>
              </w:rPr>
              <w:t>2.1.</w:t>
            </w:r>
          </w:p>
        </w:tc>
        <w:tc>
          <w:tcPr>
            <w:tcW w:w="3147" w:type="dxa"/>
            <w:shd w:val="clear" w:color="auto" w:fill="auto"/>
            <w:tcMar>
              <w:top w:w="85" w:type="dxa"/>
            </w:tcMar>
            <w:vAlign w:val="center"/>
          </w:tcPr>
          <w:p w14:paraId="3726D4B2" w14:textId="75333411" w:rsidR="00617806" w:rsidRPr="00191B6F" w:rsidRDefault="002C195D" w:rsidP="00D23413">
            <w:pPr>
              <w:contextualSpacing/>
              <w:rPr>
                <w:rFonts w:ascii="Arial" w:hAnsi="Arial" w:cs="Arial"/>
                <w:sz w:val="20"/>
                <w:szCs w:val="20"/>
              </w:rPr>
            </w:pPr>
            <w:r w:rsidRPr="002C195D">
              <w:rPr>
                <w:rFonts w:ascii="Arial" w:hAnsi="Arial" w:cs="Arial"/>
                <w:sz w:val="20"/>
                <w:szCs w:val="20"/>
              </w:rPr>
              <w:t>Prudenciális konszolidáció</w:t>
            </w:r>
            <w:r w:rsidR="001E0D83">
              <w:rPr>
                <w:rFonts w:ascii="Arial" w:hAnsi="Arial" w:cs="Arial"/>
                <w:sz w:val="20"/>
                <w:szCs w:val="20"/>
              </w:rPr>
              <w:t>s</w:t>
            </w:r>
            <w:r w:rsidRPr="002C195D">
              <w:rPr>
                <w:rFonts w:ascii="Arial" w:hAnsi="Arial" w:cs="Arial"/>
                <w:sz w:val="20"/>
                <w:szCs w:val="20"/>
              </w:rPr>
              <w:t xml:space="preserve"> körbe nem tartozó</w:t>
            </w:r>
            <w:r w:rsidR="00D23413">
              <w:rPr>
                <w:rFonts w:ascii="Arial" w:hAnsi="Arial" w:cs="Arial"/>
                <w:sz w:val="20"/>
                <w:szCs w:val="20"/>
              </w:rPr>
              <w:t xml:space="preserve"> </w:t>
            </w:r>
            <w:r w:rsidR="00617806" w:rsidRPr="00191B6F">
              <w:rPr>
                <w:rFonts w:ascii="Arial" w:hAnsi="Arial" w:cs="Arial"/>
                <w:sz w:val="20"/>
                <w:szCs w:val="20"/>
              </w:rPr>
              <w:t>csoporttag</w:t>
            </w:r>
            <w:r w:rsidR="00535018">
              <w:rPr>
                <w:rFonts w:ascii="Arial" w:hAnsi="Arial" w:cs="Arial"/>
                <w:sz w:val="20"/>
                <w:szCs w:val="20"/>
              </w:rPr>
              <w:t xml:space="preserve">októl kapott </w:t>
            </w:r>
            <w:r w:rsidR="00617806" w:rsidRPr="00191B6F">
              <w:rPr>
                <w:rFonts w:ascii="Arial" w:hAnsi="Arial" w:cs="Arial"/>
                <w:sz w:val="20"/>
                <w:szCs w:val="20"/>
              </w:rPr>
              <w:t>betét</w:t>
            </w:r>
            <w:r w:rsidR="00535018">
              <w:rPr>
                <w:rFonts w:ascii="Arial" w:hAnsi="Arial" w:cs="Arial"/>
                <w:sz w:val="20"/>
                <w:szCs w:val="20"/>
              </w:rPr>
              <w:t>ek</w:t>
            </w:r>
          </w:p>
        </w:tc>
        <w:tc>
          <w:tcPr>
            <w:tcW w:w="4082" w:type="dxa"/>
            <w:shd w:val="clear" w:color="auto" w:fill="auto"/>
            <w:tcMar>
              <w:top w:w="85" w:type="dxa"/>
            </w:tcMar>
            <w:vAlign w:val="center"/>
          </w:tcPr>
          <w:p w14:paraId="67BA77FE" w14:textId="5AD28E07" w:rsidR="00617806" w:rsidRPr="00191B6F" w:rsidRDefault="00811EC6" w:rsidP="00883E29">
            <w:pPr>
              <w:pStyle w:val="Default"/>
              <w:jc w:val="both"/>
              <w:rPr>
                <w:rFonts w:ascii="Arial" w:hAnsi="Arial" w:cs="Arial"/>
                <w:sz w:val="20"/>
                <w:szCs w:val="20"/>
              </w:rPr>
            </w:pPr>
            <w:r>
              <w:rPr>
                <w:rFonts w:ascii="Arial" w:hAnsi="Arial" w:cs="Arial"/>
                <w:sz w:val="20"/>
                <w:szCs w:val="20"/>
              </w:rPr>
              <w:t>B</w:t>
            </w:r>
            <w:r w:rsidR="00ED11DE" w:rsidRPr="00C41946">
              <w:rPr>
                <w:rFonts w:ascii="Arial" w:hAnsi="Arial" w:cs="Arial"/>
                <w:sz w:val="20"/>
                <w:szCs w:val="20"/>
              </w:rPr>
              <w:t>etétek</w:t>
            </w:r>
            <w:r>
              <w:rPr>
                <w:rFonts w:ascii="Arial" w:hAnsi="Arial" w:cs="Arial"/>
                <w:sz w:val="20"/>
                <w:szCs w:val="20"/>
              </w:rPr>
              <w:t xml:space="preserve">, </w:t>
            </w:r>
            <w:r w:rsidR="00ED11DE" w:rsidRPr="00C41946">
              <w:rPr>
                <w:rFonts w:ascii="Arial" w:hAnsi="Arial" w:cs="Arial"/>
                <w:sz w:val="20"/>
                <w:szCs w:val="20"/>
              </w:rPr>
              <w:t>amelyek esetében a másik szerződő f</w:t>
            </w:r>
            <w:r w:rsidR="00345860">
              <w:rPr>
                <w:rFonts w:ascii="Arial" w:hAnsi="Arial" w:cs="Arial"/>
                <w:sz w:val="20"/>
                <w:szCs w:val="20"/>
              </w:rPr>
              <w:t xml:space="preserve">él </w:t>
            </w:r>
            <w:r w:rsidR="00ED11DE" w:rsidRPr="00C41946">
              <w:rPr>
                <w:rFonts w:ascii="Arial" w:hAnsi="Arial" w:cs="Arial"/>
                <w:sz w:val="20"/>
                <w:szCs w:val="20"/>
              </w:rPr>
              <w:t>a számviteli konszolidáción belüli szervezet, amely azonban nem tartoz</w:t>
            </w:r>
            <w:r w:rsidR="00A72D10">
              <w:rPr>
                <w:rFonts w:ascii="Arial" w:hAnsi="Arial" w:cs="Arial"/>
                <w:sz w:val="20"/>
                <w:szCs w:val="20"/>
              </w:rPr>
              <w:t>ik</w:t>
            </w:r>
            <w:r w:rsidR="00ED11DE" w:rsidRPr="00C41946">
              <w:rPr>
                <w:rFonts w:ascii="Arial" w:hAnsi="Arial" w:cs="Arial"/>
                <w:sz w:val="20"/>
                <w:szCs w:val="20"/>
              </w:rPr>
              <w:t xml:space="preserve"> a prudenciális konszolidációs körbe. Ide tartoznak a „leányvállalatok és </w:t>
            </w:r>
            <w:r w:rsidR="00C351C2">
              <w:rPr>
                <w:rFonts w:ascii="Arial" w:hAnsi="Arial" w:cs="Arial"/>
                <w:sz w:val="20"/>
                <w:szCs w:val="20"/>
              </w:rPr>
              <w:t xml:space="preserve">azonos </w:t>
            </w:r>
            <w:r w:rsidR="00ED11DE" w:rsidRPr="00C41946">
              <w:rPr>
                <w:rFonts w:ascii="Arial" w:hAnsi="Arial" w:cs="Arial"/>
                <w:sz w:val="20"/>
                <w:szCs w:val="20"/>
              </w:rPr>
              <w:t>csoportba tartozó</w:t>
            </w:r>
            <w:r w:rsidR="00C351C2">
              <w:rPr>
                <w:rFonts w:ascii="Arial" w:hAnsi="Arial" w:cs="Arial"/>
                <w:sz w:val="20"/>
                <w:szCs w:val="20"/>
              </w:rPr>
              <w:t xml:space="preserve"> egyéb gazdálkodó egységek</w:t>
            </w:r>
            <w:r w:rsidR="00ED11DE" w:rsidRPr="00C41946">
              <w:rPr>
                <w:rFonts w:ascii="Arial" w:hAnsi="Arial" w:cs="Arial"/>
                <w:sz w:val="20"/>
                <w:szCs w:val="20"/>
              </w:rPr>
              <w:t>”</w:t>
            </w:r>
            <w:r w:rsidR="008D0480">
              <w:rPr>
                <w:rFonts w:ascii="Arial" w:hAnsi="Arial" w:cs="Arial"/>
                <w:sz w:val="20"/>
                <w:szCs w:val="20"/>
              </w:rPr>
              <w:t>,</w:t>
            </w:r>
            <w:r w:rsidR="00ED11DE" w:rsidRPr="00C41946">
              <w:rPr>
                <w:rFonts w:ascii="Arial" w:hAnsi="Arial" w:cs="Arial"/>
                <w:sz w:val="20"/>
                <w:szCs w:val="20"/>
              </w:rPr>
              <w:t xml:space="preserve"> a „társult és közös vállalkozások” a</w:t>
            </w:r>
            <w:r w:rsidR="006A03DE">
              <w:rPr>
                <w:rFonts w:ascii="Arial" w:hAnsi="Arial" w:cs="Arial"/>
                <w:sz w:val="20"/>
                <w:szCs w:val="20"/>
              </w:rPr>
              <w:t>z</w:t>
            </w:r>
            <w:r w:rsidR="00ED11DE" w:rsidRPr="00C41946">
              <w:rPr>
                <w:rFonts w:ascii="Arial" w:hAnsi="Arial" w:cs="Arial"/>
                <w:sz w:val="20"/>
                <w:szCs w:val="20"/>
              </w:rPr>
              <w:t xml:space="preserve"> </w:t>
            </w:r>
            <w:r w:rsidR="006A03DE">
              <w:rPr>
                <w:rFonts w:ascii="Arial" w:hAnsi="Arial" w:cs="Arial"/>
                <w:sz w:val="20"/>
                <w:szCs w:val="20"/>
              </w:rPr>
              <w:t>(EU) 2021/451</w:t>
            </w:r>
            <w:r w:rsidR="006A03DE" w:rsidRPr="00ED3820">
              <w:rPr>
                <w:rFonts w:ascii="Arial" w:hAnsi="Arial" w:cs="Arial"/>
                <w:sz w:val="20"/>
                <w:szCs w:val="20"/>
              </w:rPr>
              <w:t xml:space="preserve"> </w:t>
            </w:r>
            <w:r w:rsidR="00617806" w:rsidRPr="00C41946">
              <w:rPr>
                <w:rFonts w:ascii="Arial" w:hAnsi="Arial" w:cs="Arial"/>
                <w:sz w:val="20"/>
                <w:szCs w:val="20"/>
              </w:rPr>
              <w:t>bizottsági végrehajtási rendelet V. melléklet 2. rész 289. pont</w:t>
            </w:r>
            <w:r w:rsidR="00ED11DE" w:rsidRPr="00C41946">
              <w:rPr>
                <w:rFonts w:ascii="Arial" w:hAnsi="Arial" w:cs="Arial"/>
                <w:sz w:val="20"/>
                <w:szCs w:val="20"/>
              </w:rPr>
              <w:t>j</w:t>
            </w:r>
            <w:r w:rsidR="00345860">
              <w:rPr>
                <w:rFonts w:ascii="Arial" w:hAnsi="Arial" w:cs="Arial"/>
                <w:sz w:val="20"/>
                <w:szCs w:val="20"/>
              </w:rPr>
              <w:t xml:space="preserve">a szerint. </w:t>
            </w:r>
            <w:r w:rsidR="00ED11DE" w:rsidRPr="00C41946">
              <w:rPr>
                <w:rFonts w:ascii="Arial" w:hAnsi="Arial" w:cs="Arial"/>
                <w:sz w:val="20"/>
                <w:szCs w:val="20"/>
              </w:rPr>
              <w:t>Nem tartalmazza a fordított visszavásárlási</w:t>
            </w:r>
            <w:r w:rsidR="00345860">
              <w:rPr>
                <w:rFonts w:ascii="Arial" w:hAnsi="Arial" w:cs="Arial"/>
                <w:sz w:val="20"/>
                <w:szCs w:val="20"/>
              </w:rPr>
              <w:t xml:space="preserve"> </w:t>
            </w:r>
            <w:r w:rsidR="00ED11DE" w:rsidRPr="00C41946">
              <w:rPr>
                <w:rFonts w:ascii="Arial" w:hAnsi="Arial" w:cs="Arial"/>
                <w:sz w:val="20"/>
                <w:szCs w:val="20"/>
              </w:rPr>
              <w:t>hiteleket.</w:t>
            </w:r>
          </w:p>
        </w:tc>
      </w:tr>
    </w:tbl>
    <w:p w14:paraId="74DB5E2A" w14:textId="77777777" w:rsidR="00FE6B4B" w:rsidRPr="001B098C" w:rsidRDefault="00FE6B4B" w:rsidP="00FE6B4B">
      <w:pPr>
        <w:rPr>
          <w:rFonts w:ascii="Arial" w:hAnsi="Arial" w:cs="Arial"/>
          <w:sz w:val="20"/>
          <w:szCs w:val="20"/>
        </w:rPr>
      </w:pPr>
    </w:p>
    <w:p w14:paraId="1EB85630" w14:textId="77777777" w:rsidR="00FE6B4B" w:rsidRDefault="00FE6B4B" w:rsidP="00FE6B4B">
      <w:pPr>
        <w:rPr>
          <w:rFonts w:ascii="Arial" w:hAnsi="Arial" w:cs="Arial"/>
          <w:b/>
          <w:sz w:val="20"/>
          <w:szCs w:val="20"/>
        </w:rPr>
      </w:pPr>
      <w:r w:rsidRPr="00352BD3">
        <w:rPr>
          <w:rFonts w:ascii="Arial" w:hAnsi="Arial" w:cs="Arial"/>
          <w:b/>
          <w:sz w:val="20"/>
          <w:szCs w:val="20"/>
        </w:rPr>
        <w:t>A tábla oszlopai</w:t>
      </w:r>
    </w:p>
    <w:p w14:paraId="20CF3CB1" w14:textId="77777777" w:rsidR="00FE6B4B" w:rsidRPr="00352BD3" w:rsidRDefault="00FE6B4B" w:rsidP="00FE6B4B">
      <w:pPr>
        <w:rPr>
          <w:rFonts w:ascii="Arial" w:hAnsi="Arial" w:cs="Arial"/>
          <w:b/>
          <w:sz w:val="20"/>
          <w:szCs w:val="20"/>
        </w:rPr>
      </w:pPr>
    </w:p>
    <w:tbl>
      <w:tblPr>
        <w:tblW w:w="9464" w:type="dxa"/>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Look w:val="04A0" w:firstRow="1" w:lastRow="0" w:firstColumn="1" w:lastColumn="0" w:noHBand="0" w:noVBand="1"/>
      </w:tblPr>
      <w:tblGrid>
        <w:gridCol w:w="905"/>
        <w:gridCol w:w="3456"/>
        <w:gridCol w:w="5103"/>
      </w:tblGrid>
      <w:tr w:rsidR="00FE6B4B" w:rsidRPr="00191B6F" w14:paraId="6ADD5CAB" w14:textId="77777777" w:rsidTr="00960BA9">
        <w:tc>
          <w:tcPr>
            <w:tcW w:w="905" w:type="dxa"/>
            <w:shd w:val="clear" w:color="auto" w:fill="auto"/>
            <w:tcMar>
              <w:top w:w="85" w:type="dxa"/>
            </w:tcMar>
            <w:vAlign w:val="center"/>
          </w:tcPr>
          <w:p w14:paraId="49581031" w14:textId="77777777" w:rsidR="00FE6B4B" w:rsidRPr="0091468E" w:rsidRDefault="00FE6B4B" w:rsidP="00D16669">
            <w:pPr>
              <w:contextualSpacing/>
              <w:jc w:val="center"/>
              <w:rPr>
                <w:rFonts w:ascii="Arial" w:hAnsi="Arial" w:cs="Arial"/>
                <w:b/>
                <w:sz w:val="20"/>
                <w:szCs w:val="20"/>
              </w:rPr>
            </w:pPr>
            <w:r w:rsidRPr="0091468E">
              <w:rPr>
                <w:rFonts w:ascii="Arial" w:hAnsi="Arial" w:cs="Arial"/>
                <w:b/>
                <w:sz w:val="20"/>
                <w:szCs w:val="20"/>
              </w:rPr>
              <w:t>Oszlop</w:t>
            </w:r>
          </w:p>
        </w:tc>
        <w:tc>
          <w:tcPr>
            <w:tcW w:w="3456" w:type="dxa"/>
            <w:shd w:val="clear" w:color="auto" w:fill="auto"/>
            <w:tcMar>
              <w:top w:w="85" w:type="dxa"/>
            </w:tcMar>
            <w:vAlign w:val="center"/>
          </w:tcPr>
          <w:p w14:paraId="527202FD" w14:textId="77777777" w:rsidR="00FE6B4B" w:rsidRPr="0091468E" w:rsidRDefault="00FE6B4B" w:rsidP="00D16669">
            <w:pPr>
              <w:contextualSpacing/>
              <w:jc w:val="center"/>
              <w:rPr>
                <w:rFonts w:ascii="Arial" w:hAnsi="Arial" w:cs="Arial"/>
                <w:b/>
                <w:sz w:val="20"/>
                <w:szCs w:val="20"/>
              </w:rPr>
            </w:pPr>
            <w:r w:rsidRPr="0091468E">
              <w:rPr>
                <w:rFonts w:ascii="Arial" w:hAnsi="Arial" w:cs="Arial"/>
                <w:b/>
                <w:sz w:val="20"/>
                <w:szCs w:val="20"/>
              </w:rPr>
              <w:t>Megnevezés</w:t>
            </w:r>
          </w:p>
        </w:tc>
        <w:tc>
          <w:tcPr>
            <w:tcW w:w="5103" w:type="dxa"/>
            <w:shd w:val="clear" w:color="auto" w:fill="auto"/>
            <w:tcMar>
              <w:top w:w="85" w:type="dxa"/>
            </w:tcMar>
            <w:vAlign w:val="center"/>
          </w:tcPr>
          <w:p w14:paraId="7AE97FEB" w14:textId="77777777" w:rsidR="00FE6B4B" w:rsidRPr="00191B6F" w:rsidRDefault="00FE6B4B" w:rsidP="00D16669">
            <w:pPr>
              <w:contextualSpacing/>
              <w:jc w:val="center"/>
              <w:rPr>
                <w:rFonts w:ascii="Arial" w:hAnsi="Arial" w:cs="Arial"/>
                <w:sz w:val="20"/>
                <w:szCs w:val="20"/>
              </w:rPr>
            </w:pPr>
            <w:r w:rsidRPr="00191B6F">
              <w:rPr>
                <w:rFonts w:ascii="Arial" w:hAnsi="Arial" w:cs="Arial"/>
                <w:b/>
                <w:sz w:val="20"/>
                <w:szCs w:val="20"/>
              </w:rPr>
              <w:t>Hivatkozások jogszabályokra és megjegyzések</w:t>
            </w:r>
          </w:p>
        </w:tc>
      </w:tr>
      <w:tr w:rsidR="00FE6B4B" w:rsidRPr="00191B6F" w14:paraId="7D86AE22" w14:textId="77777777" w:rsidTr="00960BA9">
        <w:tc>
          <w:tcPr>
            <w:tcW w:w="905" w:type="dxa"/>
            <w:shd w:val="clear" w:color="auto" w:fill="auto"/>
            <w:tcMar>
              <w:top w:w="85" w:type="dxa"/>
            </w:tcMar>
            <w:vAlign w:val="center"/>
          </w:tcPr>
          <w:p w14:paraId="49390787"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010</w:t>
            </w:r>
          </w:p>
        </w:tc>
        <w:tc>
          <w:tcPr>
            <w:tcW w:w="3456" w:type="dxa"/>
            <w:shd w:val="clear" w:color="auto" w:fill="auto"/>
            <w:tcMar>
              <w:top w:w="85" w:type="dxa"/>
            </w:tcMar>
            <w:vAlign w:val="center"/>
          </w:tcPr>
          <w:p w14:paraId="2BE2A62D" w14:textId="77777777" w:rsidR="00FE6B4B" w:rsidRPr="00191B6F" w:rsidRDefault="00FE6B4B" w:rsidP="00D16669">
            <w:pPr>
              <w:contextualSpacing/>
              <w:rPr>
                <w:rFonts w:ascii="Arial" w:hAnsi="Arial" w:cs="Arial"/>
                <w:sz w:val="20"/>
                <w:szCs w:val="20"/>
              </w:rPr>
            </w:pPr>
            <w:r>
              <w:rPr>
                <w:rFonts w:ascii="Arial" w:hAnsi="Arial" w:cs="Arial"/>
                <w:sz w:val="20"/>
                <w:szCs w:val="20"/>
              </w:rPr>
              <w:t>Aktuális – tény</w:t>
            </w:r>
          </w:p>
        </w:tc>
        <w:tc>
          <w:tcPr>
            <w:tcW w:w="5103" w:type="dxa"/>
            <w:shd w:val="clear" w:color="auto" w:fill="auto"/>
            <w:tcMar>
              <w:top w:w="85" w:type="dxa"/>
            </w:tcMar>
            <w:vAlign w:val="center"/>
          </w:tcPr>
          <w:p w14:paraId="310DE7E9" w14:textId="77777777" w:rsidR="00FE6B4B" w:rsidRPr="00191B6F" w:rsidRDefault="00FE6B4B" w:rsidP="00D16669">
            <w:pPr>
              <w:contextualSpacing/>
              <w:jc w:val="both"/>
              <w:rPr>
                <w:rFonts w:ascii="Arial" w:hAnsi="Arial" w:cs="Arial"/>
                <w:sz w:val="20"/>
                <w:szCs w:val="20"/>
              </w:rPr>
            </w:pPr>
            <w:r w:rsidRPr="00191B6F">
              <w:rPr>
                <w:rFonts w:ascii="Arial" w:hAnsi="Arial" w:cs="Arial"/>
                <w:sz w:val="20"/>
                <w:szCs w:val="20"/>
              </w:rPr>
              <w:t xml:space="preserve">Ebben az oszlopban </w:t>
            </w:r>
            <w:r>
              <w:rPr>
                <w:rFonts w:ascii="Arial" w:hAnsi="Arial" w:cs="Arial"/>
                <w:sz w:val="20"/>
                <w:szCs w:val="20"/>
              </w:rPr>
              <w:t xml:space="preserve">az előző év végi tényadatot </w:t>
            </w:r>
            <w:r w:rsidRPr="00191B6F">
              <w:rPr>
                <w:rFonts w:ascii="Arial" w:hAnsi="Arial" w:cs="Arial"/>
                <w:sz w:val="20"/>
                <w:szCs w:val="20"/>
              </w:rPr>
              <w:t xml:space="preserve">kell </w:t>
            </w:r>
            <w:r>
              <w:rPr>
                <w:rFonts w:ascii="Arial" w:hAnsi="Arial" w:cs="Arial"/>
                <w:sz w:val="20"/>
                <w:szCs w:val="20"/>
              </w:rPr>
              <w:t>jelenteni</w:t>
            </w:r>
            <w:r w:rsidRPr="00191B6F">
              <w:rPr>
                <w:rFonts w:ascii="Arial" w:hAnsi="Arial" w:cs="Arial"/>
                <w:sz w:val="20"/>
                <w:szCs w:val="20"/>
              </w:rPr>
              <w:t>.</w:t>
            </w:r>
          </w:p>
        </w:tc>
      </w:tr>
      <w:tr w:rsidR="00FE6B4B" w:rsidRPr="00191B6F" w14:paraId="2708863B" w14:textId="77777777" w:rsidTr="00960BA9">
        <w:tc>
          <w:tcPr>
            <w:tcW w:w="905" w:type="dxa"/>
            <w:shd w:val="clear" w:color="auto" w:fill="auto"/>
            <w:tcMar>
              <w:top w:w="85" w:type="dxa"/>
            </w:tcMar>
            <w:vAlign w:val="center"/>
          </w:tcPr>
          <w:p w14:paraId="32D33C0C" w14:textId="4516D8ED" w:rsidR="00FE6B4B" w:rsidRPr="00191B6F" w:rsidRDefault="00FE6B4B" w:rsidP="00D16669">
            <w:pPr>
              <w:contextualSpacing/>
              <w:rPr>
                <w:rFonts w:ascii="Arial" w:hAnsi="Arial" w:cs="Arial"/>
                <w:sz w:val="20"/>
                <w:szCs w:val="20"/>
              </w:rPr>
            </w:pPr>
            <w:r w:rsidRPr="00191B6F">
              <w:rPr>
                <w:rFonts w:ascii="Arial" w:hAnsi="Arial" w:cs="Arial"/>
                <w:sz w:val="20"/>
                <w:szCs w:val="20"/>
              </w:rPr>
              <w:t>0</w:t>
            </w:r>
            <w:r w:rsidR="0089305C">
              <w:rPr>
                <w:rFonts w:ascii="Arial" w:hAnsi="Arial" w:cs="Arial"/>
                <w:sz w:val="20"/>
                <w:szCs w:val="20"/>
              </w:rPr>
              <w:t>3</w:t>
            </w:r>
            <w:r w:rsidRPr="00191B6F">
              <w:rPr>
                <w:rFonts w:ascii="Arial" w:hAnsi="Arial" w:cs="Arial"/>
                <w:sz w:val="20"/>
                <w:szCs w:val="20"/>
              </w:rPr>
              <w:t>0 -050</w:t>
            </w:r>
          </w:p>
        </w:tc>
        <w:tc>
          <w:tcPr>
            <w:tcW w:w="3456" w:type="dxa"/>
            <w:shd w:val="clear" w:color="auto" w:fill="auto"/>
            <w:tcMar>
              <w:top w:w="85" w:type="dxa"/>
            </w:tcMar>
            <w:vAlign w:val="center"/>
          </w:tcPr>
          <w:p w14:paraId="6CB36F33" w14:textId="27E94145" w:rsidR="00FE6B4B" w:rsidRPr="00191B6F" w:rsidRDefault="00FE6B4B" w:rsidP="00D16669">
            <w:pPr>
              <w:contextualSpacing/>
              <w:rPr>
                <w:rFonts w:ascii="Arial" w:hAnsi="Arial" w:cs="Arial"/>
                <w:sz w:val="20"/>
                <w:szCs w:val="20"/>
              </w:rPr>
            </w:pPr>
            <w:r w:rsidRPr="00191B6F">
              <w:rPr>
                <w:rFonts w:ascii="Arial" w:hAnsi="Arial" w:cs="Arial"/>
                <w:sz w:val="20"/>
                <w:szCs w:val="20"/>
              </w:rPr>
              <w:t xml:space="preserve">1 év – terv, 2 év – terv, 3 év </w:t>
            </w:r>
            <w:r w:rsidR="007C0883" w:rsidRPr="00191B6F">
              <w:rPr>
                <w:rFonts w:ascii="Arial" w:hAnsi="Arial" w:cs="Arial"/>
                <w:sz w:val="20"/>
                <w:szCs w:val="20"/>
              </w:rPr>
              <w:t>–</w:t>
            </w:r>
            <w:r w:rsidRPr="00191B6F">
              <w:rPr>
                <w:rFonts w:ascii="Arial" w:hAnsi="Arial" w:cs="Arial"/>
                <w:sz w:val="20"/>
                <w:szCs w:val="20"/>
              </w:rPr>
              <w:t xml:space="preserve"> terv</w:t>
            </w:r>
          </w:p>
        </w:tc>
        <w:tc>
          <w:tcPr>
            <w:tcW w:w="5103" w:type="dxa"/>
            <w:shd w:val="clear" w:color="auto" w:fill="auto"/>
            <w:tcMar>
              <w:top w:w="85" w:type="dxa"/>
            </w:tcMar>
            <w:vAlign w:val="center"/>
          </w:tcPr>
          <w:p w14:paraId="3ABDE55F" w14:textId="486161C5" w:rsidR="00FE6B4B" w:rsidRDefault="003C5714" w:rsidP="00D16669">
            <w:pPr>
              <w:jc w:val="both"/>
              <w:rPr>
                <w:rFonts w:ascii="Arial" w:hAnsi="Arial" w:cs="Arial"/>
                <w:sz w:val="20"/>
                <w:szCs w:val="20"/>
              </w:rPr>
            </w:pPr>
            <w:r>
              <w:rPr>
                <w:rFonts w:ascii="Arial" w:hAnsi="Arial" w:cs="Arial"/>
                <w:sz w:val="20"/>
                <w:szCs w:val="20"/>
              </w:rPr>
              <w:t>Ezekben az oszlopokban a tényadatot követő 1., 2. és 3. évre vonatko</w:t>
            </w:r>
            <w:r w:rsidR="00DF73F4">
              <w:rPr>
                <w:rFonts w:ascii="Arial" w:hAnsi="Arial" w:cs="Arial"/>
                <w:sz w:val="20"/>
                <w:szCs w:val="20"/>
              </w:rPr>
              <w:t>zó terv</w:t>
            </w:r>
            <w:r w:rsidR="00D23413">
              <w:rPr>
                <w:rFonts w:ascii="Arial" w:hAnsi="Arial" w:cs="Arial"/>
                <w:sz w:val="20"/>
                <w:szCs w:val="20"/>
              </w:rPr>
              <w:t xml:space="preserve"> </w:t>
            </w:r>
            <w:r w:rsidR="00DF73F4">
              <w:rPr>
                <w:rFonts w:ascii="Arial" w:hAnsi="Arial" w:cs="Arial"/>
                <w:sz w:val="20"/>
                <w:szCs w:val="20"/>
              </w:rPr>
              <w:t>adatokat kell jelenteni.</w:t>
            </w:r>
          </w:p>
          <w:p w14:paraId="22155271" w14:textId="77777777" w:rsidR="00FE6B4B" w:rsidRPr="00191B6F" w:rsidRDefault="00FE6B4B" w:rsidP="00D16669">
            <w:pPr>
              <w:contextualSpacing/>
              <w:jc w:val="both"/>
              <w:rPr>
                <w:rFonts w:ascii="Arial" w:hAnsi="Arial" w:cs="Arial"/>
                <w:sz w:val="20"/>
                <w:szCs w:val="20"/>
              </w:rPr>
            </w:pPr>
            <w:r w:rsidRPr="00191B6F">
              <w:rPr>
                <w:rFonts w:ascii="Arial" w:hAnsi="Arial" w:cs="Arial"/>
                <w:sz w:val="20"/>
                <w:szCs w:val="20"/>
              </w:rPr>
              <w:t>Ezeket az oszlopokat a hitelintézeteknek a normál makrogazdasági helyzet és normál üzletmenet feltételezése mellett tett előrejelzések szerint kell kitölteniük. Az MNB nem ad meg makrogazdasági szcenáriót, a hitelintézetnek a saját becslései közül a legvalószínűbbet kell alkalmaznia.</w:t>
            </w:r>
          </w:p>
        </w:tc>
      </w:tr>
    </w:tbl>
    <w:p w14:paraId="0FA24E5F" w14:textId="77777777" w:rsidR="0062780E" w:rsidRDefault="0062780E" w:rsidP="00FE6B4B">
      <w:pPr>
        <w:rPr>
          <w:rFonts w:ascii="Arial" w:hAnsi="Arial" w:cs="Arial"/>
          <w:b/>
          <w:sz w:val="20"/>
          <w:szCs w:val="20"/>
        </w:rPr>
      </w:pPr>
    </w:p>
    <w:p w14:paraId="60A547C9" w14:textId="1F6B41F1" w:rsidR="00FE6B4B" w:rsidRDefault="0062780E" w:rsidP="00FE6B4B">
      <w:pPr>
        <w:rPr>
          <w:rFonts w:ascii="Arial" w:hAnsi="Arial" w:cs="Arial"/>
          <w:b/>
          <w:sz w:val="20"/>
          <w:szCs w:val="20"/>
        </w:rPr>
      </w:pPr>
      <w:r>
        <w:rPr>
          <w:rFonts w:ascii="Arial" w:hAnsi="Arial" w:cs="Arial"/>
          <w:b/>
          <w:sz w:val="20"/>
          <w:szCs w:val="20"/>
        </w:rPr>
        <w:t xml:space="preserve">3. </w:t>
      </w:r>
      <w:r w:rsidR="00FE6B4B">
        <w:rPr>
          <w:rFonts w:ascii="Arial" w:hAnsi="Arial" w:cs="Arial"/>
          <w:b/>
          <w:sz w:val="20"/>
          <w:szCs w:val="20"/>
        </w:rPr>
        <w:t>P</w:t>
      </w:r>
      <w:r w:rsidR="00857983">
        <w:rPr>
          <w:rFonts w:ascii="Arial" w:hAnsi="Arial" w:cs="Arial"/>
          <w:b/>
          <w:sz w:val="20"/>
          <w:szCs w:val="20"/>
        </w:rPr>
        <w:t>_</w:t>
      </w:r>
      <w:r w:rsidR="00FE6B4B" w:rsidRPr="001B098C">
        <w:rPr>
          <w:rFonts w:ascii="Arial" w:hAnsi="Arial" w:cs="Arial"/>
          <w:b/>
          <w:sz w:val="20"/>
          <w:szCs w:val="20"/>
        </w:rPr>
        <w:t>01.03</w:t>
      </w:r>
      <w:r w:rsidR="00FE6B4B">
        <w:rPr>
          <w:rFonts w:ascii="Arial" w:hAnsi="Arial" w:cs="Arial"/>
          <w:b/>
          <w:sz w:val="20"/>
          <w:szCs w:val="20"/>
        </w:rPr>
        <w:t xml:space="preserve"> Finanszírozási terv </w:t>
      </w:r>
      <w:r w:rsidR="008E3A5A">
        <w:rPr>
          <w:rFonts w:ascii="Arial" w:hAnsi="Arial" w:cs="Arial"/>
          <w:b/>
          <w:caps/>
          <w:sz w:val="20"/>
          <w:szCs w:val="20"/>
          <w:lang w:val="en-US" w:eastAsia="en-GB"/>
        </w:rPr>
        <w:t>–</w:t>
      </w:r>
      <w:r w:rsidR="00FE6B4B">
        <w:rPr>
          <w:rFonts w:ascii="Arial" w:hAnsi="Arial" w:cs="Arial"/>
          <w:b/>
          <w:sz w:val="20"/>
          <w:szCs w:val="20"/>
        </w:rPr>
        <w:t xml:space="preserve"> </w:t>
      </w:r>
      <w:r w:rsidR="00FE6B4B" w:rsidRPr="001B098C">
        <w:rPr>
          <w:rFonts w:ascii="Arial" w:hAnsi="Arial" w:cs="Arial"/>
          <w:b/>
          <w:sz w:val="20"/>
          <w:szCs w:val="20"/>
        </w:rPr>
        <w:t xml:space="preserve">Likviditási mutatók </w:t>
      </w:r>
    </w:p>
    <w:p w14:paraId="784A75C7" w14:textId="5B953B5E" w:rsidR="00741275" w:rsidRDefault="00741275" w:rsidP="00FE6B4B">
      <w:pPr>
        <w:rPr>
          <w:rFonts w:ascii="Arial" w:hAnsi="Arial" w:cs="Arial"/>
          <w:b/>
          <w:sz w:val="20"/>
          <w:szCs w:val="20"/>
        </w:rPr>
      </w:pPr>
    </w:p>
    <w:p w14:paraId="3FBFC97B" w14:textId="77777777" w:rsidR="00FE6B4B" w:rsidRDefault="00FE6B4B" w:rsidP="00FE6B4B">
      <w:pPr>
        <w:rPr>
          <w:rFonts w:ascii="Arial" w:hAnsi="Arial" w:cs="Arial"/>
          <w:b/>
          <w:sz w:val="20"/>
          <w:szCs w:val="20"/>
        </w:rPr>
      </w:pPr>
    </w:p>
    <w:p w14:paraId="239E77F8" w14:textId="77777777" w:rsidR="00741275" w:rsidRPr="000749C4" w:rsidRDefault="00741275" w:rsidP="00883E29">
      <w:pPr>
        <w:pStyle w:val="InstructionsText2"/>
        <w:spacing w:after="0"/>
        <w:rPr>
          <w:rFonts w:ascii="Arial" w:hAnsi="Arial" w:cs="Arial"/>
          <w:sz w:val="20"/>
          <w:szCs w:val="20"/>
        </w:rPr>
      </w:pPr>
      <w:r w:rsidRPr="000749C4">
        <w:rPr>
          <w:rFonts w:ascii="Arial" w:hAnsi="Arial" w:cs="Arial"/>
          <w:sz w:val="20"/>
          <w:szCs w:val="20"/>
        </w:rPr>
        <w:t>Ez a tábla a következők előrejelzésre vonatkozik:</w:t>
      </w:r>
    </w:p>
    <w:p w14:paraId="116D2439" w14:textId="44AF1600" w:rsidR="00741275" w:rsidRPr="000749C4" w:rsidRDefault="00741275" w:rsidP="00741275">
      <w:pPr>
        <w:pStyle w:val="Baseparagraphnumbered"/>
        <w:numPr>
          <w:ilvl w:val="0"/>
          <w:numId w:val="0"/>
        </w:numPr>
        <w:ind w:left="785" w:hanging="360"/>
        <w:contextualSpacing/>
        <w:rPr>
          <w:rFonts w:ascii="Arial" w:hAnsi="Arial" w:cs="Arial"/>
          <w:sz w:val="20"/>
          <w:szCs w:val="20"/>
        </w:rPr>
      </w:pPr>
      <w:r w:rsidRPr="000749C4">
        <w:rPr>
          <w:rFonts w:ascii="Arial" w:hAnsi="Arial" w:cs="Arial"/>
          <w:sz w:val="20"/>
          <w:szCs w:val="20"/>
        </w:rPr>
        <w:t>a)</w:t>
      </w:r>
      <w:r w:rsidRPr="000749C4">
        <w:rPr>
          <w:rFonts w:ascii="Arial" w:hAnsi="Arial" w:cs="Arial"/>
          <w:sz w:val="20"/>
          <w:szCs w:val="20"/>
        </w:rPr>
        <w:tab/>
        <w:t>az LCR és annak fő elemei 1 éves időhorizonton;</w:t>
      </w:r>
    </w:p>
    <w:p w14:paraId="2313669A" w14:textId="0A7515C7" w:rsidR="00741275" w:rsidRPr="000749C4" w:rsidRDefault="00741275" w:rsidP="00741275">
      <w:pPr>
        <w:pStyle w:val="Baseparagraphnumbered"/>
        <w:numPr>
          <w:ilvl w:val="0"/>
          <w:numId w:val="0"/>
        </w:numPr>
        <w:ind w:left="785" w:hanging="360"/>
        <w:contextualSpacing/>
        <w:rPr>
          <w:rFonts w:ascii="Arial" w:hAnsi="Arial" w:cs="Arial"/>
          <w:sz w:val="20"/>
          <w:szCs w:val="20"/>
        </w:rPr>
      </w:pPr>
      <w:r w:rsidRPr="000749C4">
        <w:rPr>
          <w:rFonts w:ascii="Arial" w:hAnsi="Arial" w:cs="Arial"/>
          <w:sz w:val="20"/>
          <w:szCs w:val="20"/>
        </w:rPr>
        <w:t>b)</w:t>
      </w:r>
      <w:r w:rsidRPr="000749C4">
        <w:rPr>
          <w:rFonts w:ascii="Arial" w:hAnsi="Arial" w:cs="Arial"/>
          <w:sz w:val="20"/>
          <w:szCs w:val="20"/>
        </w:rPr>
        <w:tab/>
        <w:t>az NSFR és annak fő elemei 3 éves időhorizonton (P</w:t>
      </w:r>
      <w:r w:rsidR="00B64B82">
        <w:rPr>
          <w:rFonts w:ascii="Arial" w:hAnsi="Arial" w:cs="Arial"/>
          <w:sz w:val="20"/>
          <w:szCs w:val="20"/>
        </w:rPr>
        <w:t>_</w:t>
      </w:r>
      <w:r w:rsidRPr="000749C4">
        <w:rPr>
          <w:rFonts w:ascii="Arial" w:hAnsi="Arial" w:cs="Arial"/>
          <w:sz w:val="20"/>
          <w:szCs w:val="20"/>
        </w:rPr>
        <w:t>01.03).</w:t>
      </w:r>
    </w:p>
    <w:p w14:paraId="41B17DFB" w14:textId="70CD7178" w:rsidR="00741275" w:rsidRPr="008C61E8" w:rsidRDefault="00741275" w:rsidP="00741275">
      <w:pPr>
        <w:pStyle w:val="InstructionsText2"/>
        <w:rPr>
          <w:rFonts w:ascii="Arial" w:hAnsi="Arial" w:cs="Arial"/>
          <w:sz w:val="20"/>
          <w:szCs w:val="20"/>
        </w:rPr>
      </w:pPr>
      <w:r w:rsidRPr="000749C4">
        <w:rPr>
          <w:rFonts w:ascii="Arial" w:hAnsi="Arial" w:cs="Arial"/>
          <w:sz w:val="20"/>
          <w:szCs w:val="20"/>
        </w:rPr>
        <w:t>A táblában meghatározott adatokat abban az esetben</w:t>
      </w:r>
      <w:r>
        <w:rPr>
          <w:rFonts w:ascii="Arial" w:hAnsi="Arial" w:cs="Arial"/>
          <w:sz w:val="20"/>
          <w:szCs w:val="20"/>
        </w:rPr>
        <w:t xml:space="preserve"> kell jelentenie az adatszolgáltatónak, </w:t>
      </w:r>
      <w:r w:rsidRPr="000749C4">
        <w:rPr>
          <w:rFonts w:ascii="Arial" w:hAnsi="Arial" w:cs="Arial"/>
          <w:sz w:val="20"/>
          <w:szCs w:val="20"/>
        </w:rPr>
        <w:t>ha a</w:t>
      </w:r>
      <w:r w:rsidR="0009570C">
        <w:rPr>
          <w:rFonts w:ascii="Arial" w:hAnsi="Arial" w:cs="Arial"/>
          <w:sz w:val="20"/>
          <w:szCs w:val="20"/>
        </w:rPr>
        <w:t xml:space="preserve"> CRR</w:t>
      </w:r>
      <w:r w:rsidRPr="000749C4">
        <w:rPr>
          <w:rFonts w:ascii="Arial" w:hAnsi="Arial" w:cs="Arial"/>
          <w:sz w:val="20"/>
          <w:szCs w:val="20"/>
        </w:rPr>
        <w:t xml:space="preserve"> és a</w:t>
      </w:r>
      <w:r w:rsidR="006B36F4">
        <w:rPr>
          <w:rFonts w:ascii="Arial" w:hAnsi="Arial" w:cs="Arial"/>
          <w:sz w:val="20"/>
          <w:szCs w:val="20"/>
        </w:rPr>
        <w:t>z</w:t>
      </w:r>
      <w:r w:rsidRPr="000749C4">
        <w:rPr>
          <w:rFonts w:ascii="Arial" w:hAnsi="Arial" w:cs="Arial"/>
          <w:sz w:val="20"/>
          <w:szCs w:val="20"/>
        </w:rPr>
        <w:t xml:space="preserve"> (EU) 2015/61 felhatalmazáson alapuló </w:t>
      </w:r>
      <w:r w:rsidR="0061587D">
        <w:rPr>
          <w:rFonts w:ascii="Arial" w:hAnsi="Arial" w:cs="Arial"/>
          <w:sz w:val="20"/>
          <w:szCs w:val="20"/>
        </w:rPr>
        <w:t>bizottsági</w:t>
      </w:r>
      <w:r w:rsidR="008C61E8">
        <w:rPr>
          <w:rFonts w:ascii="Arial" w:hAnsi="Arial" w:cs="Arial"/>
          <w:sz w:val="20"/>
          <w:szCs w:val="20"/>
        </w:rPr>
        <w:t xml:space="preserve"> </w:t>
      </w:r>
      <w:r w:rsidRPr="000749C4">
        <w:rPr>
          <w:rFonts w:ascii="Arial" w:hAnsi="Arial" w:cs="Arial"/>
          <w:sz w:val="20"/>
          <w:szCs w:val="20"/>
        </w:rPr>
        <w:t xml:space="preserve">rendelet szerint egyedi </w:t>
      </w:r>
      <w:r w:rsidRPr="008C61E8">
        <w:rPr>
          <w:rFonts w:ascii="Arial" w:hAnsi="Arial" w:cs="Arial"/>
          <w:sz w:val="20"/>
          <w:szCs w:val="20"/>
        </w:rPr>
        <w:t xml:space="preserve">vagy összevont szinten likviditási mutatókat kell kiszámítania. Ha összevont adatokra van szükség, az adatokat </w:t>
      </w:r>
      <w:r w:rsidR="0002644F" w:rsidRPr="00883E29">
        <w:rPr>
          <w:rFonts w:ascii="Arial" w:hAnsi="Arial" w:cs="Arial"/>
          <w:sz w:val="20"/>
          <w:szCs w:val="20"/>
        </w:rPr>
        <w:t xml:space="preserve">a CRR </w:t>
      </w:r>
      <w:r w:rsidR="00193049">
        <w:rPr>
          <w:rFonts w:ascii="Arial" w:hAnsi="Arial" w:cs="Arial"/>
          <w:sz w:val="20"/>
          <w:szCs w:val="20"/>
        </w:rPr>
        <w:t>Első</w:t>
      </w:r>
      <w:r w:rsidR="004A58A6">
        <w:rPr>
          <w:rFonts w:ascii="Arial" w:hAnsi="Arial" w:cs="Arial"/>
          <w:sz w:val="20"/>
          <w:szCs w:val="20"/>
        </w:rPr>
        <w:t xml:space="preserve"> </w:t>
      </w:r>
      <w:r w:rsidR="006B36F4">
        <w:rPr>
          <w:rFonts w:ascii="Arial" w:hAnsi="Arial" w:cs="Arial"/>
          <w:sz w:val="20"/>
          <w:szCs w:val="20"/>
        </w:rPr>
        <w:t>rész</w:t>
      </w:r>
      <w:r w:rsidR="00512F7B">
        <w:rPr>
          <w:rFonts w:ascii="Arial" w:hAnsi="Arial" w:cs="Arial"/>
          <w:sz w:val="20"/>
          <w:szCs w:val="20"/>
        </w:rPr>
        <w:t xml:space="preserve"> </w:t>
      </w:r>
      <w:r w:rsidRPr="008C61E8">
        <w:rPr>
          <w:rFonts w:ascii="Arial" w:hAnsi="Arial" w:cs="Arial"/>
          <w:sz w:val="20"/>
          <w:szCs w:val="20"/>
        </w:rPr>
        <w:t>II.</w:t>
      </w:r>
      <w:r w:rsidR="007A2B76">
        <w:rPr>
          <w:rFonts w:ascii="Arial" w:hAnsi="Arial" w:cs="Arial"/>
          <w:sz w:val="20"/>
          <w:szCs w:val="20"/>
        </w:rPr>
        <w:t xml:space="preserve"> </w:t>
      </w:r>
      <w:r w:rsidR="006B36F4">
        <w:rPr>
          <w:rFonts w:ascii="Arial" w:hAnsi="Arial" w:cs="Arial"/>
          <w:sz w:val="20"/>
          <w:szCs w:val="20"/>
        </w:rPr>
        <w:t>C</w:t>
      </w:r>
      <w:r w:rsidRPr="008C61E8">
        <w:rPr>
          <w:rFonts w:ascii="Arial" w:hAnsi="Arial" w:cs="Arial"/>
          <w:sz w:val="20"/>
          <w:szCs w:val="20"/>
        </w:rPr>
        <w:t xml:space="preserve">ím </w:t>
      </w:r>
      <w:r w:rsidR="006B36F4">
        <w:rPr>
          <w:rFonts w:ascii="Arial" w:hAnsi="Arial" w:cs="Arial"/>
          <w:sz w:val="20"/>
          <w:szCs w:val="20"/>
        </w:rPr>
        <w:t>2</w:t>
      </w:r>
      <w:r w:rsidRPr="008C61E8">
        <w:rPr>
          <w:rFonts w:ascii="Arial" w:hAnsi="Arial" w:cs="Arial"/>
          <w:sz w:val="20"/>
          <w:szCs w:val="20"/>
        </w:rPr>
        <w:t>.</w:t>
      </w:r>
      <w:r w:rsidR="007A2B76">
        <w:rPr>
          <w:rFonts w:ascii="Arial" w:hAnsi="Arial" w:cs="Arial"/>
          <w:sz w:val="20"/>
          <w:szCs w:val="20"/>
        </w:rPr>
        <w:t xml:space="preserve"> </w:t>
      </w:r>
      <w:r w:rsidRPr="008C61E8">
        <w:rPr>
          <w:rFonts w:ascii="Arial" w:hAnsi="Arial" w:cs="Arial"/>
          <w:sz w:val="20"/>
          <w:szCs w:val="20"/>
        </w:rPr>
        <w:t>fejezetében és a</w:t>
      </w:r>
      <w:r w:rsidR="006B36F4">
        <w:rPr>
          <w:rFonts w:ascii="Arial" w:hAnsi="Arial" w:cs="Arial"/>
          <w:sz w:val="20"/>
          <w:szCs w:val="20"/>
        </w:rPr>
        <w:t>z</w:t>
      </w:r>
      <w:r w:rsidRPr="008C61E8">
        <w:rPr>
          <w:rFonts w:ascii="Arial" w:hAnsi="Arial" w:cs="Arial"/>
          <w:sz w:val="20"/>
          <w:szCs w:val="20"/>
        </w:rPr>
        <w:t xml:space="preserve"> (EU) 2015/61 felhatalmazáson alapuló </w:t>
      </w:r>
      <w:r w:rsidR="0061587D">
        <w:rPr>
          <w:rFonts w:ascii="Arial" w:hAnsi="Arial" w:cs="Arial"/>
          <w:sz w:val="20"/>
          <w:szCs w:val="20"/>
        </w:rPr>
        <w:t>bizottsági</w:t>
      </w:r>
      <w:r w:rsidR="008C61E8">
        <w:rPr>
          <w:rFonts w:ascii="Arial" w:hAnsi="Arial" w:cs="Arial"/>
          <w:sz w:val="20"/>
          <w:szCs w:val="20"/>
        </w:rPr>
        <w:t xml:space="preserve"> </w:t>
      </w:r>
      <w:r w:rsidRPr="008C61E8">
        <w:rPr>
          <w:rFonts w:ascii="Arial" w:hAnsi="Arial" w:cs="Arial"/>
          <w:sz w:val="20"/>
          <w:szCs w:val="20"/>
        </w:rPr>
        <w:t>rendelet 2</w:t>
      </w:r>
      <w:r w:rsidR="002347AE">
        <w:rPr>
          <w:rFonts w:ascii="Arial" w:hAnsi="Arial" w:cs="Arial"/>
          <w:sz w:val="20"/>
          <w:szCs w:val="20"/>
        </w:rPr>
        <w:t xml:space="preserve">. </w:t>
      </w:r>
      <w:r w:rsidRPr="008C61E8">
        <w:rPr>
          <w:rFonts w:ascii="Arial" w:hAnsi="Arial" w:cs="Arial"/>
          <w:sz w:val="20"/>
          <w:szCs w:val="20"/>
        </w:rPr>
        <w:t xml:space="preserve">cikkében előírt, a likviditásra vonatkozó határértéknek megfelelően kell </w:t>
      </w:r>
      <w:r w:rsidR="0061587D">
        <w:rPr>
          <w:rFonts w:ascii="Arial" w:hAnsi="Arial" w:cs="Arial"/>
          <w:sz w:val="20"/>
          <w:szCs w:val="20"/>
        </w:rPr>
        <w:t>jelenteni</w:t>
      </w:r>
      <w:r w:rsidRPr="008C61E8">
        <w:rPr>
          <w:rFonts w:ascii="Arial" w:hAnsi="Arial" w:cs="Arial"/>
          <w:sz w:val="20"/>
          <w:szCs w:val="20"/>
        </w:rPr>
        <w:t>.</w:t>
      </w:r>
    </w:p>
    <w:p w14:paraId="3BA136E5" w14:textId="49509829" w:rsidR="00FE6B4B" w:rsidRPr="00B2610A" w:rsidRDefault="00FE6B4B" w:rsidP="00B2610A">
      <w:pPr>
        <w:pStyle w:val="InstructionsText2"/>
        <w:rPr>
          <w:rFonts w:ascii="Arial" w:hAnsi="Arial" w:cs="Arial"/>
          <w:sz w:val="20"/>
          <w:szCs w:val="20"/>
        </w:rPr>
      </w:pPr>
      <w:bookmarkStart w:id="5" w:name="_Hlk137633960"/>
      <w:r w:rsidRPr="005E7560">
        <w:rPr>
          <w:rFonts w:ascii="Arial" w:hAnsi="Arial" w:cs="Arial"/>
          <w:sz w:val="20"/>
          <w:szCs w:val="20"/>
        </w:rPr>
        <w:t xml:space="preserve">A likviditási minimumkövetelmények teljesítésének </w:t>
      </w:r>
      <w:r w:rsidR="005A3B3B">
        <w:rPr>
          <w:rFonts w:ascii="Arial" w:hAnsi="Arial" w:cs="Arial"/>
          <w:sz w:val="20"/>
          <w:szCs w:val="20"/>
        </w:rPr>
        <w:t xml:space="preserve">megfelelően kell </w:t>
      </w:r>
      <w:r w:rsidRPr="005E7560">
        <w:rPr>
          <w:rFonts w:ascii="Arial" w:hAnsi="Arial" w:cs="Arial"/>
          <w:sz w:val="20"/>
          <w:szCs w:val="20"/>
        </w:rPr>
        <w:t xml:space="preserve">az adatszolgáltató által </w:t>
      </w:r>
      <w:r w:rsidR="000B33B4">
        <w:rPr>
          <w:rFonts w:ascii="Arial" w:hAnsi="Arial" w:cs="Arial"/>
          <w:sz w:val="20"/>
          <w:szCs w:val="20"/>
        </w:rPr>
        <w:t xml:space="preserve">tervezett </w:t>
      </w:r>
      <w:r w:rsidRPr="005E7560">
        <w:rPr>
          <w:rFonts w:ascii="Arial" w:hAnsi="Arial" w:cs="Arial"/>
          <w:sz w:val="20"/>
          <w:szCs w:val="20"/>
        </w:rPr>
        <w:t>adatokat jelenteni.</w:t>
      </w:r>
      <w:r w:rsidR="005E7560" w:rsidRPr="00B2610A">
        <w:rPr>
          <w:rFonts w:ascii="Arial" w:hAnsi="Arial" w:cs="Arial"/>
          <w:sz w:val="20"/>
          <w:szCs w:val="20"/>
        </w:rPr>
        <w:t xml:space="preserve"> </w:t>
      </w:r>
    </w:p>
    <w:bookmarkEnd w:id="5"/>
    <w:p w14:paraId="32C3C669" w14:textId="77777777" w:rsidR="00FE6B4B" w:rsidRDefault="00FE6B4B" w:rsidP="00FE6B4B">
      <w:pPr>
        <w:rPr>
          <w:rFonts w:ascii="Arial" w:hAnsi="Arial" w:cs="Arial"/>
          <w:b/>
          <w:sz w:val="20"/>
          <w:szCs w:val="20"/>
        </w:rPr>
      </w:pPr>
    </w:p>
    <w:p w14:paraId="1B9F6E1B" w14:textId="77777777" w:rsidR="00FE6B4B" w:rsidRDefault="00FE6B4B" w:rsidP="00FE6B4B">
      <w:pPr>
        <w:rPr>
          <w:rFonts w:ascii="Arial" w:hAnsi="Arial" w:cs="Arial"/>
          <w:b/>
          <w:sz w:val="20"/>
          <w:szCs w:val="20"/>
        </w:rPr>
      </w:pPr>
      <w:r>
        <w:rPr>
          <w:rFonts w:ascii="Arial" w:hAnsi="Arial" w:cs="Arial"/>
          <w:b/>
          <w:sz w:val="20"/>
          <w:szCs w:val="20"/>
        </w:rPr>
        <w:t>A tábla sorai</w:t>
      </w:r>
    </w:p>
    <w:p w14:paraId="4E4FD1FB" w14:textId="77777777" w:rsidR="00FE6B4B" w:rsidRPr="001B098C" w:rsidRDefault="00FE6B4B" w:rsidP="00FE6B4B">
      <w:pPr>
        <w:rPr>
          <w:rFonts w:ascii="Arial" w:hAnsi="Arial" w:cs="Arial"/>
          <w:b/>
          <w:sz w:val="20"/>
          <w:szCs w:val="20"/>
        </w:rPr>
      </w:pPr>
    </w:p>
    <w:tbl>
      <w:tblPr>
        <w:tblW w:w="9464" w:type="dxa"/>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Look w:val="04A0" w:firstRow="1" w:lastRow="0" w:firstColumn="1" w:lastColumn="0" w:noHBand="0" w:noVBand="1"/>
      </w:tblPr>
      <w:tblGrid>
        <w:gridCol w:w="905"/>
        <w:gridCol w:w="1330"/>
        <w:gridCol w:w="2976"/>
        <w:gridCol w:w="4253"/>
      </w:tblGrid>
      <w:tr w:rsidR="00FE6B4B" w:rsidRPr="00E23702" w14:paraId="77E47EC0" w14:textId="77777777" w:rsidTr="00960BA9">
        <w:tc>
          <w:tcPr>
            <w:tcW w:w="905" w:type="dxa"/>
            <w:shd w:val="clear" w:color="auto" w:fill="auto"/>
            <w:vAlign w:val="center"/>
          </w:tcPr>
          <w:p w14:paraId="673771A8" w14:textId="77777777" w:rsidR="00FE6B4B" w:rsidRPr="00E23702" w:rsidRDefault="00FE6B4B" w:rsidP="00D16669">
            <w:pPr>
              <w:contextualSpacing/>
              <w:jc w:val="center"/>
              <w:rPr>
                <w:rFonts w:ascii="Arial" w:hAnsi="Arial" w:cs="Arial"/>
                <w:b/>
                <w:sz w:val="20"/>
                <w:szCs w:val="20"/>
              </w:rPr>
            </w:pPr>
            <w:r w:rsidRPr="00E23702">
              <w:rPr>
                <w:rFonts w:ascii="Arial" w:hAnsi="Arial" w:cs="Arial"/>
                <w:b/>
                <w:sz w:val="20"/>
                <w:szCs w:val="20"/>
              </w:rPr>
              <w:t>Sorkód</w:t>
            </w:r>
          </w:p>
        </w:tc>
        <w:tc>
          <w:tcPr>
            <w:tcW w:w="1330" w:type="dxa"/>
            <w:vAlign w:val="center"/>
          </w:tcPr>
          <w:p w14:paraId="55103450" w14:textId="77777777" w:rsidR="00FE6B4B" w:rsidRPr="00E23702" w:rsidRDefault="00FE6B4B" w:rsidP="00D16669">
            <w:pPr>
              <w:contextualSpacing/>
              <w:rPr>
                <w:rFonts w:ascii="Arial" w:hAnsi="Arial" w:cs="Arial"/>
                <w:b/>
                <w:sz w:val="20"/>
                <w:szCs w:val="20"/>
              </w:rPr>
            </w:pPr>
            <w:r>
              <w:rPr>
                <w:rFonts w:ascii="Arial" w:hAnsi="Arial" w:cs="Arial"/>
                <w:b/>
                <w:sz w:val="20"/>
                <w:szCs w:val="20"/>
              </w:rPr>
              <w:t>Hierarchia</w:t>
            </w:r>
          </w:p>
        </w:tc>
        <w:tc>
          <w:tcPr>
            <w:tcW w:w="2976" w:type="dxa"/>
            <w:shd w:val="clear" w:color="auto" w:fill="auto"/>
            <w:vAlign w:val="center"/>
          </w:tcPr>
          <w:p w14:paraId="69B3CBAF" w14:textId="77777777" w:rsidR="00FE6B4B" w:rsidRPr="00E23702" w:rsidRDefault="00FE6B4B" w:rsidP="00D16669">
            <w:pPr>
              <w:contextualSpacing/>
              <w:jc w:val="center"/>
              <w:rPr>
                <w:rFonts w:ascii="Arial" w:hAnsi="Arial" w:cs="Arial"/>
                <w:b/>
                <w:sz w:val="20"/>
                <w:szCs w:val="20"/>
              </w:rPr>
            </w:pPr>
            <w:r w:rsidRPr="00E23702">
              <w:rPr>
                <w:rFonts w:ascii="Arial" w:hAnsi="Arial" w:cs="Arial"/>
                <w:b/>
                <w:sz w:val="20"/>
                <w:szCs w:val="20"/>
              </w:rPr>
              <w:t>Megnevezés</w:t>
            </w:r>
          </w:p>
        </w:tc>
        <w:tc>
          <w:tcPr>
            <w:tcW w:w="4253" w:type="dxa"/>
            <w:shd w:val="clear" w:color="auto" w:fill="auto"/>
            <w:vAlign w:val="center"/>
          </w:tcPr>
          <w:p w14:paraId="3199E49F" w14:textId="77777777" w:rsidR="00FE6B4B" w:rsidRPr="00E23702" w:rsidRDefault="00FE6B4B" w:rsidP="00D16669">
            <w:pPr>
              <w:contextualSpacing/>
              <w:jc w:val="center"/>
              <w:rPr>
                <w:rFonts w:ascii="Arial" w:hAnsi="Arial" w:cs="Arial"/>
                <w:b/>
                <w:sz w:val="20"/>
                <w:szCs w:val="20"/>
              </w:rPr>
            </w:pPr>
            <w:r w:rsidRPr="00191B6F">
              <w:rPr>
                <w:rFonts w:ascii="Arial" w:hAnsi="Arial" w:cs="Arial"/>
                <w:b/>
                <w:sz w:val="20"/>
                <w:szCs w:val="20"/>
              </w:rPr>
              <w:t>Hivatkozások jogszabályokra és megjegyzések</w:t>
            </w:r>
          </w:p>
        </w:tc>
      </w:tr>
      <w:tr w:rsidR="00FE6B4B" w:rsidRPr="00191B6F" w14:paraId="1C932599" w14:textId="77777777" w:rsidTr="00960BA9">
        <w:tc>
          <w:tcPr>
            <w:tcW w:w="905" w:type="dxa"/>
            <w:shd w:val="clear" w:color="auto" w:fill="auto"/>
            <w:tcMar>
              <w:top w:w="85" w:type="dxa"/>
            </w:tcMar>
            <w:vAlign w:val="center"/>
          </w:tcPr>
          <w:p w14:paraId="13DF8789"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010</w:t>
            </w:r>
          </w:p>
        </w:tc>
        <w:tc>
          <w:tcPr>
            <w:tcW w:w="1330" w:type="dxa"/>
            <w:vAlign w:val="center"/>
          </w:tcPr>
          <w:p w14:paraId="015F48F2" w14:textId="77777777" w:rsidR="00FE6B4B" w:rsidRDefault="00FE6B4B" w:rsidP="00D16669">
            <w:pPr>
              <w:contextualSpacing/>
              <w:rPr>
                <w:rFonts w:ascii="Arial" w:hAnsi="Arial" w:cs="Arial"/>
                <w:sz w:val="20"/>
                <w:szCs w:val="20"/>
              </w:rPr>
            </w:pPr>
            <w:r>
              <w:rPr>
                <w:rFonts w:ascii="Arial" w:hAnsi="Arial" w:cs="Arial"/>
                <w:sz w:val="20"/>
                <w:szCs w:val="20"/>
              </w:rPr>
              <w:t>1.1.</w:t>
            </w:r>
          </w:p>
        </w:tc>
        <w:tc>
          <w:tcPr>
            <w:tcW w:w="2976" w:type="dxa"/>
            <w:shd w:val="clear" w:color="auto" w:fill="auto"/>
            <w:tcMar>
              <w:top w:w="85" w:type="dxa"/>
            </w:tcMar>
            <w:vAlign w:val="center"/>
          </w:tcPr>
          <w:p w14:paraId="3F7E2BE7" w14:textId="77777777" w:rsidR="00FE6B4B" w:rsidRPr="00D80B60" w:rsidRDefault="00FE6B4B" w:rsidP="00BF0E35">
            <w:pPr>
              <w:contextualSpacing/>
              <w:jc w:val="both"/>
              <w:rPr>
                <w:rFonts w:ascii="Arial" w:hAnsi="Arial" w:cs="Arial"/>
                <w:sz w:val="20"/>
                <w:szCs w:val="20"/>
              </w:rPr>
            </w:pPr>
            <w:r w:rsidRPr="00D80B60">
              <w:rPr>
                <w:rFonts w:ascii="Arial" w:hAnsi="Arial" w:cs="Arial"/>
                <w:sz w:val="20"/>
                <w:szCs w:val="20"/>
              </w:rPr>
              <w:t>Nettó stabil forrásellátottsági mutató (NSFR) (százalék)</w:t>
            </w:r>
          </w:p>
        </w:tc>
        <w:tc>
          <w:tcPr>
            <w:tcW w:w="4253" w:type="dxa"/>
            <w:shd w:val="clear" w:color="auto" w:fill="auto"/>
            <w:tcMar>
              <w:top w:w="85" w:type="dxa"/>
            </w:tcMar>
            <w:vAlign w:val="center"/>
          </w:tcPr>
          <w:p w14:paraId="66671B67" w14:textId="65C2C5D7" w:rsidR="00FE6B4B" w:rsidRPr="00D80B60" w:rsidRDefault="00FC47FF" w:rsidP="00D16669">
            <w:pPr>
              <w:contextualSpacing/>
              <w:jc w:val="both"/>
              <w:rPr>
                <w:rFonts w:ascii="Arial" w:hAnsi="Arial" w:cs="Arial"/>
                <w:sz w:val="20"/>
                <w:szCs w:val="20"/>
                <w:highlight w:val="red"/>
              </w:rPr>
            </w:pPr>
            <w:r w:rsidRPr="00D80B60">
              <w:rPr>
                <w:rFonts w:ascii="Arial" w:hAnsi="Arial" w:cs="Arial"/>
                <w:sz w:val="20"/>
                <w:szCs w:val="20"/>
              </w:rPr>
              <w:t xml:space="preserve">Ez a tétel az NSFR-t </w:t>
            </w:r>
            <w:r w:rsidR="001A6340" w:rsidRPr="00D80B60">
              <w:rPr>
                <w:rFonts w:ascii="Arial" w:hAnsi="Arial" w:cs="Arial"/>
                <w:sz w:val="20"/>
                <w:szCs w:val="20"/>
              </w:rPr>
              <w:t xml:space="preserve">a CRR </w:t>
            </w:r>
            <w:r w:rsidR="00D13996">
              <w:rPr>
                <w:rFonts w:ascii="Arial" w:hAnsi="Arial" w:cs="Arial"/>
                <w:sz w:val="20"/>
                <w:szCs w:val="20"/>
              </w:rPr>
              <w:t>H</w:t>
            </w:r>
            <w:r w:rsidR="002C67CD">
              <w:rPr>
                <w:rFonts w:ascii="Arial" w:hAnsi="Arial" w:cs="Arial"/>
                <w:sz w:val="20"/>
                <w:szCs w:val="20"/>
              </w:rPr>
              <w:t xml:space="preserve">atodik rész </w:t>
            </w:r>
            <w:r w:rsidRPr="00D80B60">
              <w:rPr>
                <w:rFonts w:ascii="Arial" w:hAnsi="Arial" w:cs="Arial"/>
                <w:sz w:val="20"/>
                <w:szCs w:val="20"/>
              </w:rPr>
              <w:t>IV.</w:t>
            </w:r>
            <w:r w:rsidR="00FF5B54">
              <w:rPr>
                <w:rFonts w:ascii="Arial" w:hAnsi="Arial" w:cs="Arial"/>
                <w:sz w:val="20"/>
                <w:szCs w:val="20"/>
              </w:rPr>
              <w:t xml:space="preserve"> </w:t>
            </w:r>
            <w:r w:rsidR="009640BF">
              <w:rPr>
                <w:rFonts w:ascii="Arial" w:hAnsi="Arial" w:cs="Arial"/>
                <w:sz w:val="20"/>
                <w:szCs w:val="20"/>
              </w:rPr>
              <w:t>C</w:t>
            </w:r>
            <w:r w:rsidRPr="00D80B60">
              <w:rPr>
                <w:rFonts w:ascii="Arial" w:hAnsi="Arial" w:cs="Arial"/>
                <w:sz w:val="20"/>
                <w:szCs w:val="20"/>
              </w:rPr>
              <w:t>ím</w:t>
            </w:r>
            <w:r w:rsidR="002C67CD">
              <w:rPr>
                <w:rFonts w:ascii="Arial" w:hAnsi="Arial" w:cs="Arial"/>
                <w:sz w:val="20"/>
                <w:szCs w:val="20"/>
              </w:rPr>
              <w:t xml:space="preserve"> </w:t>
            </w:r>
            <w:r w:rsidR="002C67CD" w:rsidRPr="00D80B60">
              <w:rPr>
                <w:rFonts w:ascii="Arial" w:hAnsi="Arial" w:cs="Arial"/>
                <w:sz w:val="20"/>
                <w:szCs w:val="20"/>
              </w:rPr>
              <w:t>1.</w:t>
            </w:r>
            <w:r w:rsidR="00FF5B54">
              <w:rPr>
                <w:rFonts w:ascii="Arial" w:hAnsi="Arial" w:cs="Arial"/>
                <w:sz w:val="20"/>
                <w:szCs w:val="20"/>
              </w:rPr>
              <w:t xml:space="preserve"> </w:t>
            </w:r>
            <w:r w:rsidR="002C67CD" w:rsidRPr="00D80B60">
              <w:rPr>
                <w:rFonts w:ascii="Arial" w:hAnsi="Arial" w:cs="Arial"/>
                <w:sz w:val="20"/>
                <w:szCs w:val="20"/>
              </w:rPr>
              <w:t>fejezet</w:t>
            </w:r>
            <w:r w:rsidR="00560996">
              <w:rPr>
                <w:rFonts w:ascii="Arial" w:hAnsi="Arial" w:cs="Arial"/>
                <w:sz w:val="20"/>
                <w:szCs w:val="20"/>
              </w:rPr>
              <w:t>ének</w:t>
            </w:r>
            <w:r w:rsidR="00AC4BF4">
              <w:rPr>
                <w:rFonts w:ascii="Arial" w:hAnsi="Arial" w:cs="Arial"/>
                <w:sz w:val="20"/>
                <w:szCs w:val="20"/>
              </w:rPr>
              <w:t xml:space="preserve"> </w:t>
            </w:r>
            <w:r w:rsidRPr="00D80B60">
              <w:rPr>
                <w:rFonts w:ascii="Arial" w:hAnsi="Arial" w:cs="Arial"/>
                <w:sz w:val="20"/>
                <w:szCs w:val="20"/>
              </w:rPr>
              <w:t xml:space="preserve">megfelelően tartalmazza. </w:t>
            </w:r>
            <w:r w:rsidR="00FE6B4B" w:rsidRPr="00D80B60">
              <w:rPr>
                <w:rFonts w:ascii="Arial" w:hAnsi="Arial" w:cs="Arial"/>
                <w:sz w:val="20"/>
                <w:szCs w:val="20"/>
              </w:rPr>
              <w:t>Százalékos érték (egységnyi értékben</w:t>
            </w:r>
            <w:r w:rsidR="00FE6B4B" w:rsidRPr="005343D5">
              <w:rPr>
                <w:rFonts w:ascii="Arial" w:hAnsi="Arial" w:cs="Arial"/>
                <w:sz w:val="20"/>
                <w:szCs w:val="20"/>
              </w:rPr>
              <w:t xml:space="preserve"> kifejezve, négy tizedes jegy pontossággal). </w:t>
            </w:r>
            <w:r w:rsidR="00FE6B4B" w:rsidRPr="002760F6">
              <w:rPr>
                <w:rFonts w:ascii="Arial" w:hAnsi="Arial" w:cs="Arial"/>
                <w:sz w:val="20"/>
                <w:szCs w:val="20"/>
                <w:highlight w:val="yellow"/>
              </w:rPr>
              <w:t xml:space="preserve"> </w:t>
            </w:r>
          </w:p>
        </w:tc>
      </w:tr>
      <w:tr w:rsidR="00FC47FF" w:rsidRPr="00191B6F" w14:paraId="661D1E4A" w14:textId="77777777" w:rsidTr="00960BA9">
        <w:tc>
          <w:tcPr>
            <w:tcW w:w="905" w:type="dxa"/>
            <w:shd w:val="clear" w:color="auto" w:fill="auto"/>
            <w:tcMar>
              <w:top w:w="85" w:type="dxa"/>
            </w:tcMar>
            <w:vAlign w:val="center"/>
          </w:tcPr>
          <w:p w14:paraId="5D34713A" w14:textId="0F99436F" w:rsidR="00FC47FF" w:rsidRPr="00191B6F" w:rsidRDefault="00FC47FF" w:rsidP="00D16669">
            <w:pPr>
              <w:contextualSpacing/>
              <w:rPr>
                <w:rFonts w:ascii="Arial" w:hAnsi="Arial" w:cs="Arial"/>
                <w:sz w:val="20"/>
                <w:szCs w:val="20"/>
              </w:rPr>
            </w:pPr>
            <w:r>
              <w:rPr>
                <w:rFonts w:ascii="Arial" w:hAnsi="Arial" w:cs="Arial"/>
                <w:sz w:val="20"/>
                <w:szCs w:val="20"/>
              </w:rPr>
              <w:t>012</w:t>
            </w:r>
          </w:p>
        </w:tc>
        <w:tc>
          <w:tcPr>
            <w:tcW w:w="1330" w:type="dxa"/>
            <w:vAlign w:val="center"/>
          </w:tcPr>
          <w:p w14:paraId="3FE8B671" w14:textId="3B2C4DF5" w:rsidR="00FC47FF" w:rsidRDefault="00914175" w:rsidP="00D16669">
            <w:pPr>
              <w:contextualSpacing/>
              <w:rPr>
                <w:rFonts w:ascii="Arial" w:hAnsi="Arial" w:cs="Arial"/>
                <w:sz w:val="20"/>
                <w:szCs w:val="20"/>
              </w:rPr>
            </w:pPr>
            <w:r>
              <w:rPr>
                <w:rFonts w:ascii="Arial" w:hAnsi="Arial" w:cs="Arial"/>
                <w:sz w:val="20"/>
                <w:szCs w:val="20"/>
              </w:rPr>
              <w:t>1.2.</w:t>
            </w:r>
          </w:p>
        </w:tc>
        <w:tc>
          <w:tcPr>
            <w:tcW w:w="2976" w:type="dxa"/>
            <w:shd w:val="clear" w:color="auto" w:fill="auto"/>
            <w:tcMar>
              <w:top w:w="85" w:type="dxa"/>
            </w:tcMar>
            <w:vAlign w:val="center"/>
          </w:tcPr>
          <w:p w14:paraId="5DABDBA6" w14:textId="47E2D2E0" w:rsidR="00FC47FF" w:rsidRPr="00D80B60" w:rsidRDefault="00914175" w:rsidP="00BF0E35">
            <w:pPr>
              <w:contextualSpacing/>
              <w:jc w:val="both"/>
              <w:rPr>
                <w:rFonts w:ascii="Arial" w:hAnsi="Arial" w:cs="Arial"/>
                <w:sz w:val="20"/>
                <w:szCs w:val="20"/>
              </w:rPr>
            </w:pPr>
            <w:r w:rsidRPr="00D80B60">
              <w:rPr>
                <w:rFonts w:ascii="Arial" w:hAnsi="Arial" w:cs="Arial"/>
                <w:sz w:val="20"/>
                <w:szCs w:val="20"/>
              </w:rPr>
              <w:t>Rendelkezésre álló stabil forrásellátás</w:t>
            </w:r>
          </w:p>
        </w:tc>
        <w:tc>
          <w:tcPr>
            <w:tcW w:w="4253" w:type="dxa"/>
            <w:shd w:val="clear" w:color="auto" w:fill="auto"/>
            <w:tcMar>
              <w:top w:w="85" w:type="dxa"/>
            </w:tcMar>
            <w:vAlign w:val="center"/>
          </w:tcPr>
          <w:p w14:paraId="25165DE7" w14:textId="2640439B" w:rsidR="00FC47FF" w:rsidRPr="00D80B60" w:rsidRDefault="00560996" w:rsidP="00D16669">
            <w:pPr>
              <w:contextualSpacing/>
              <w:jc w:val="both"/>
              <w:rPr>
                <w:rFonts w:ascii="Arial" w:hAnsi="Arial" w:cs="Arial"/>
                <w:sz w:val="20"/>
                <w:szCs w:val="20"/>
              </w:rPr>
            </w:pPr>
            <w:r>
              <w:rPr>
                <w:rFonts w:ascii="Arial" w:hAnsi="Arial" w:cs="Arial"/>
                <w:sz w:val="20"/>
                <w:szCs w:val="20"/>
              </w:rPr>
              <w:t>A</w:t>
            </w:r>
            <w:r w:rsidR="00FC47FF" w:rsidRPr="00D80B60">
              <w:rPr>
                <w:rFonts w:ascii="Arial" w:hAnsi="Arial" w:cs="Arial"/>
                <w:sz w:val="20"/>
                <w:szCs w:val="20"/>
              </w:rPr>
              <w:t xml:space="preserve"> rendelkezésre álló stabil forrásellátást </w:t>
            </w:r>
            <w:r w:rsidR="0009570C" w:rsidRPr="00D80B60">
              <w:rPr>
                <w:rFonts w:ascii="Arial" w:hAnsi="Arial" w:cs="Arial"/>
                <w:sz w:val="20"/>
                <w:szCs w:val="20"/>
              </w:rPr>
              <w:t>a</w:t>
            </w:r>
            <w:r w:rsidR="002C6D04" w:rsidRPr="00D80B60">
              <w:rPr>
                <w:rFonts w:ascii="Arial" w:hAnsi="Arial" w:cs="Arial"/>
                <w:sz w:val="20"/>
                <w:szCs w:val="20"/>
              </w:rPr>
              <w:t xml:space="preserve"> </w:t>
            </w:r>
            <w:r w:rsidR="0009570C" w:rsidRPr="00D80B60">
              <w:rPr>
                <w:rFonts w:ascii="Arial" w:hAnsi="Arial" w:cs="Arial"/>
                <w:sz w:val="20"/>
                <w:szCs w:val="20"/>
              </w:rPr>
              <w:t xml:space="preserve">CRR </w:t>
            </w:r>
            <w:r w:rsidR="00D13996">
              <w:rPr>
                <w:rFonts w:ascii="Arial" w:hAnsi="Arial" w:cs="Arial"/>
                <w:sz w:val="20"/>
                <w:szCs w:val="20"/>
              </w:rPr>
              <w:t>H</w:t>
            </w:r>
            <w:r>
              <w:rPr>
                <w:rFonts w:ascii="Arial" w:hAnsi="Arial" w:cs="Arial"/>
                <w:sz w:val="20"/>
                <w:szCs w:val="20"/>
              </w:rPr>
              <w:t xml:space="preserve">atodik rész IV. </w:t>
            </w:r>
            <w:r w:rsidR="00112B38">
              <w:rPr>
                <w:rFonts w:ascii="Arial" w:hAnsi="Arial" w:cs="Arial"/>
                <w:sz w:val="20"/>
                <w:szCs w:val="20"/>
              </w:rPr>
              <w:t>C</w:t>
            </w:r>
            <w:r>
              <w:rPr>
                <w:rFonts w:ascii="Arial" w:hAnsi="Arial" w:cs="Arial"/>
                <w:sz w:val="20"/>
                <w:szCs w:val="20"/>
              </w:rPr>
              <w:t xml:space="preserve">ím </w:t>
            </w:r>
            <w:r w:rsidR="00FC47FF" w:rsidRPr="00D80B60">
              <w:rPr>
                <w:rFonts w:ascii="Arial" w:hAnsi="Arial" w:cs="Arial"/>
                <w:sz w:val="20"/>
                <w:szCs w:val="20"/>
              </w:rPr>
              <w:t>3.</w:t>
            </w:r>
            <w:r w:rsidR="00FF5B54">
              <w:rPr>
                <w:rFonts w:ascii="Arial" w:hAnsi="Arial" w:cs="Arial"/>
                <w:sz w:val="20"/>
                <w:szCs w:val="20"/>
              </w:rPr>
              <w:t xml:space="preserve"> </w:t>
            </w:r>
            <w:r w:rsidR="00FC47FF" w:rsidRPr="00D80B60">
              <w:rPr>
                <w:rFonts w:ascii="Arial" w:hAnsi="Arial" w:cs="Arial"/>
                <w:sz w:val="20"/>
                <w:szCs w:val="20"/>
              </w:rPr>
              <w:t>fejezet</w:t>
            </w:r>
            <w:r>
              <w:rPr>
                <w:rFonts w:ascii="Arial" w:hAnsi="Arial" w:cs="Arial"/>
                <w:sz w:val="20"/>
                <w:szCs w:val="20"/>
              </w:rPr>
              <w:t xml:space="preserve">ének </w:t>
            </w:r>
            <w:r w:rsidR="00FC47FF" w:rsidRPr="00D80B60">
              <w:rPr>
                <w:rFonts w:ascii="Arial" w:hAnsi="Arial" w:cs="Arial"/>
                <w:sz w:val="20"/>
                <w:szCs w:val="20"/>
              </w:rPr>
              <w:t>megfelelően tartalmazza.</w:t>
            </w:r>
          </w:p>
        </w:tc>
      </w:tr>
      <w:tr w:rsidR="00FC47FF" w:rsidRPr="00191B6F" w14:paraId="101B27A6" w14:textId="77777777" w:rsidTr="00960BA9">
        <w:tc>
          <w:tcPr>
            <w:tcW w:w="905" w:type="dxa"/>
            <w:shd w:val="clear" w:color="auto" w:fill="auto"/>
            <w:tcMar>
              <w:top w:w="85" w:type="dxa"/>
            </w:tcMar>
            <w:vAlign w:val="center"/>
          </w:tcPr>
          <w:p w14:paraId="061FDFA4" w14:textId="0E3A5773" w:rsidR="00FC47FF" w:rsidRPr="00191B6F" w:rsidRDefault="00FC47FF" w:rsidP="00D16669">
            <w:pPr>
              <w:contextualSpacing/>
              <w:rPr>
                <w:rFonts w:ascii="Arial" w:hAnsi="Arial" w:cs="Arial"/>
                <w:sz w:val="20"/>
                <w:szCs w:val="20"/>
              </w:rPr>
            </w:pPr>
            <w:r>
              <w:rPr>
                <w:rFonts w:ascii="Arial" w:hAnsi="Arial" w:cs="Arial"/>
                <w:sz w:val="20"/>
                <w:szCs w:val="20"/>
              </w:rPr>
              <w:lastRenderedPageBreak/>
              <w:t>014</w:t>
            </w:r>
          </w:p>
        </w:tc>
        <w:tc>
          <w:tcPr>
            <w:tcW w:w="1330" w:type="dxa"/>
            <w:vAlign w:val="center"/>
          </w:tcPr>
          <w:p w14:paraId="0FD3597E" w14:textId="4118E41E" w:rsidR="00FC47FF" w:rsidRDefault="00914175" w:rsidP="00D16669">
            <w:pPr>
              <w:contextualSpacing/>
              <w:rPr>
                <w:rFonts w:ascii="Arial" w:hAnsi="Arial" w:cs="Arial"/>
                <w:sz w:val="20"/>
                <w:szCs w:val="20"/>
              </w:rPr>
            </w:pPr>
            <w:r>
              <w:rPr>
                <w:rFonts w:ascii="Arial" w:hAnsi="Arial" w:cs="Arial"/>
                <w:sz w:val="20"/>
                <w:szCs w:val="20"/>
              </w:rPr>
              <w:t>1.2.1</w:t>
            </w:r>
            <w:r w:rsidR="00521A47">
              <w:rPr>
                <w:rFonts w:ascii="Arial" w:hAnsi="Arial" w:cs="Arial"/>
                <w:sz w:val="20"/>
                <w:szCs w:val="20"/>
              </w:rPr>
              <w:t>.</w:t>
            </w:r>
          </w:p>
        </w:tc>
        <w:tc>
          <w:tcPr>
            <w:tcW w:w="2976" w:type="dxa"/>
            <w:shd w:val="clear" w:color="auto" w:fill="auto"/>
            <w:tcMar>
              <w:top w:w="85" w:type="dxa"/>
            </w:tcMar>
            <w:vAlign w:val="center"/>
          </w:tcPr>
          <w:p w14:paraId="3A1CF21E" w14:textId="13884503" w:rsidR="00FC47FF" w:rsidRPr="00D80B60" w:rsidRDefault="00914175" w:rsidP="00BF0E35">
            <w:pPr>
              <w:contextualSpacing/>
              <w:jc w:val="both"/>
              <w:rPr>
                <w:rFonts w:ascii="Arial" w:hAnsi="Arial" w:cs="Arial"/>
                <w:sz w:val="20"/>
                <w:szCs w:val="20"/>
              </w:rPr>
            </w:pPr>
            <w:r w:rsidRPr="00D80B60">
              <w:rPr>
                <w:rFonts w:ascii="Arial" w:hAnsi="Arial" w:cs="Arial"/>
                <w:sz w:val="20"/>
                <w:szCs w:val="20"/>
              </w:rPr>
              <w:t>Szükséges stabil forrásellátás</w:t>
            </w:r>
          </w:p>
        </w:tc>
        <w:tc>
          <w:tcPr>
            <w:tcW w:w="4253" w:type="dxa"/>
            <w:shd w:val="clear" w:color="auto" w:fill="auto"/>
            <w:tcMar>
              <w:top w:w="85" w:type="dxa"/>
            </w:tcMar>
            <w:vAlign w:val="center"/>
          </w:tcPr>
          <w:p w14:paraId="03813D59" w14:textId="29DDB723" w:rsidR="00FC47FF" w:rsidRPr="00D80B60" w:rsidRDefault="00560996" w:rsidP="00D16669">
            <w:pPr>
              <w:contextualSpacing/>
              <w:jc w:val="both"/>
              <w:rPr>
                <w:rFonts w:ascii="Arial" w:hAnsi="Arial" w:cs="Arial"/>
                <w:sz w:val="20"/>
                <w:szCs w:val="20"/>
              </w:rPr>
            </w:pPr>
            <w:r>
              <w:rPr>
                <w:rFonts w:ascii="Arial" w:hAnsi="Arial" w:cs="Arial"/>
                <w:sz w:val="20"/>
                <w:szCs w:val="20"/>
              </w:rPr>
              <w:t>A</w:t>
            </w:r>
            <w:r w:rsidR="00FC47FF" w:rsidRPr="00D80B60">
              <w:rPr>
                <w:rFonts w:ascii="Arial" w:hAnsi="Arial" w:cs="Arial"/>
                <w:sz w:val="20"/>
                <w:szCs w:val="20"/>
              </w:rPr>
              <w:t xml:space="preserve"> szükséges stabil forrásellátást </w:t>
            </w:r>
            <w:r w:rsidR="002C6D04" w:rsidRPr="00D80B60">
              <w:rPr>
                <w:rFonts w:ascii="Arial" w:hAnsi="Arial" w:cs="Arial"/>
                <w:sz w:val="20"/>
                <w:szCs w:val="20"/>
              </w:rPr>
              <w:t xml:space="preserve">a CRR </w:t>
            </w:r>
            <w:r w:rsidR="00D13996">
              <w:rPr>
                <w:rFonts w:ascii="Arial" w:hAnsi="Arial" w:cs="Arial"/>
                <w:sz w:val="20"/>
                <w:szCs w:val="20"/>
              </w:rPr>
              <w:t>H</w:t>
            </w:r>
            <w:r>
              <w:rPr>
                <w:rFonts w:ascii="Arial" w:hAnsi="Arial" w:cs="Arial"/>
                <w:sz w:val="20"/>
                <w:szCs w:val="20"/>
              </w:rPr>
              <w:t xml:space="preserve">atodik rész IV. </w:t>
            </w:r>
            <w:r w:rsidR="00112B38">
              <w:rPr>
                <w:rFonts w:ascii="Arial" w:hAnsi="Arial" w:cs="Arial"/>
                <w:sz w:val="20"/>
                <w:szCs w:val="20"/>
              </w:rPr>
              <w:t>C</w:t>
            </w:r>
            <w:r>
              <w:rPr>
                <w:rFonts w:ascii="Arial" w:hAnsi="Arial" w:cs="Arial"/>
                <w:sz w:val="20"/>
                <w:szCs w:val="20"/>
              </w:rPr>
              <w:t>ím</w:t>
            </w:r>
            <w:r w:rsidRPr="00D80B60">
              <w:rPr>
                <w:rFonts w:ascii="Arial" w:hAnsi="Arial" w:cs="Arial"/>
                <w:sz w:val="20"/>
                <w:szCs w:val="20"/>
              </w:rPr>
              <w:t xml:space="preserve"> </w:t>
            </w:r>
            <w:r w:rsidR="00FC47FF" w:rsidRPr="00D80B60">
              <w:rPr>
                <w:rFonts w:ascii="Arial" w:hAnsi="Arial" w:cs="Arial"/>
                <w:sz w:val="20"/>
                <w:szCs w:val="20"/>
              </w:rPr>
              <w:t>4.</w:t>
            </w:r>
            <w:r w:rsidR="00FF5B54">
              <w:rPr>
                <w:rFonts w:ascii="Arial" w:hAnsi="Arial" w:cs="Arial"/>
                <w:sz w:val="20"/>
                <w:szCs w:val="20"/>
              </w:rPr>
              <w:t xml:space="preserve"> </w:t>
            </w:r>
            <w:r w:rsidR="00FC47FF" w:rsidRPr="00D80B60">
              <w:rPr>
                <w:rFonts w:ascii="Arial" w:hAnsi="Arial" w:cs="Arial"/>
                <w:sz w:val="20"/>
                <w:szCs w:val="20"/>
              </w:rPr>
              <w:t>fejezet</w:t>
            </w:r>
            <w:r>
              <w:rPr>
                <w:rFonts w:ascii="Arial" w:hAnsi="Arial" w:cs="Arial"/>
                <w:sz w:val="20"/>
                <w:szCs w:val="20"/>
              </w:rPr>
              <w:t>ének</w:t>
            </w:r>
            <w:r w:rsidR="00FC47FF" w:rsidRPr="00D80B60">
              <w:rPr>
                <w:rFonts w:ascii="Arial" w:hAnsi="Arial" w:cs="Arial"/>
                <w:sz w:val="20"/>
                <w:szCs w:val="20"/>
              </w:rPr>
              <w:t xml:space="preserve"> megfelelően tartalmazza.</w:t>
            </w:r>
          </w:p>
        </w:tc>
      </w:tr>
      <w:tr w:rsidR="00FE6B4B" w:rsidRPr="00191B6F" w14:paraId="6D562731" w14:textId="77777777" w:rsidTr="00960BA9">
        <w:tc>
          <w:tcPr>
            <w:tcW w:w="905" w:type="dxa"/>
            <w:shd w:val="clear" w:color="auto" w:fill="auto"/>
            <w:tcMar>
              <w:top w:w="85" w:type="dxa"/>
            </w:tcMar>
            <w:vAlign w:val="center"/>
          </w:tcPr>
          <w:p w14:paraId="541616A1"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020</w:t>
            </w:r>
          </w:p>
        </w:tc>
        <w:tc>
          <w:tcPr>
            <w:tcW w:w="1330" w:type="dxa"/>
            <w:vAlign w:val="center"/>
          </w:tcPr>
          <w:p w14:paraId="6E6EF33B" w14:textId="2C7344FC" w:rsidR="00FE6B4B" w:rsidRPr="00191B6F" w:rsidRDefault="00FE6B4B" w:rsidP="00D16669">
            <w:pPr>
              <w:contextualSpacing/>
              <w:rPr>
                <w:rFonts w:ascii="Arial" w:hAnsi="Arial" w:cs="Arial"/>
                <w:sz w:val="20"/>
                <w:szCs w:val="20"/>
              </w:rPr>
            </w:pPr>
            <w:r>
              <w:rPr>
                <w:rFonts w:ascii="Arial" w:hAnsi="Arial" w:cs="Arial"/>
                <w:sz w:val="20"/>
                <w:szCs w:val="20"/>
              </w:rPr>
              <w:t>1.2.</w:t>
            </w:r>
            <w:r w:rsidR="00914175">
              <w:rPr>
                <w:rFonts w:ascii="Arial" w:hAnsi="Arial" w:cs="Arial"/>
                <w:sz w:val="20"/>
                <w:szCs w:val="20"/>
              </w:rPr>
              <w:t>2.</w:t>
            </w:r>
          </w:p>
        </w:tc>
        <w:tc>
          <w:tcPr>
            <w:tcW w:w="2976" w:type="dxa"/>
            <w:shd w:val="clear" w:color="auto" w:fill="auto"/>
            <w:tcMar>
              <w:top w:w="85" w:type="dxa"/>
            </w:tcMar>
            <w:vAlign w:val="center"/>
          </w:tcPr>
          <w:p w14:paraId="317608FC" w14:textId="77777777" w:rsidR="00FE6B4B" w:rsidRPr="00D80B60" w:rsidRDefault="00FE6B4B" w:rsidP="00BF0E35">
            <w:pPr>
              <w:contextualSpacing/>
              <w:jc w:val="both"/>
              <w:rPr>
                <w:rFonts w:ascii="Arial" w:hAnsi="Arial" w:cs="Arial"/>
                <w:sz w:val="20"/>
                <w:szCs w:val="20"/>
              </w:rPr>
            </w:pPr>
            <w:r w:rsidRPr="00D80B60">
              <w:rPr>
                <w:rFonts w:ascii="Arial" w:hAnsi="Arial" w:cs="Arial"/>
                <w:sz w:val="20"/>
                <w:szCs w:val="20"/>
              </w:rPr>
              <w:t>NSFR többlet/(hiány)</w:t>
            </w:r>
          </w:p>
        </w:tc>
        <w:tc>
          <w:tcPr>
            <w:tcW w:w="4253" w:type="dxa"/>
            <w:shd w:val="clear" w:color="auto" w:fill="auto"/>
            <w:tcMar>
              <w:top w:w="85" w:type="dxa"/>
            </w:tcMar>
            <w:vAlign w:val="center"/>
          </w:tcPr>
          <w:p w14:paraId="18436A6A" w14:textId="14FE5E0F" w:rsidR="00FE6B4B" w:rsidRPr="00D80B60" w:rsidRDefault="00560996" w:rsidP="00D16669">
            <w:pPr>
              <w:contextualSpacing/>
              <w:jc w:val="both"/>
              <w:rPr>
                <w:rFonts w:ascii="Arial" w:hAnsi="Arial" w:cs="Arial"/>
                <w:sz w:val="20"/>
                <w:szCs w:val="20"/>
              </w:rPr>
            </w:pPr>
            <w:r>
              <w:rPr>
                <w:rFonts w:ascii="Arial" w:hAnsi="Arial" w:cs="Arial"/>
                <w:bCs/>
                <w:sz w:val="20"/>
                <w:szCs w:val="20"/>
              </w:rPr>
              <w:t>A</w:t>
            </w:r>
            <w:r w:rsidR="00F76C5A" w:rsidRPr="00D80B60">
              <w:rPr>
                <w:rFonts w:ascii="Arial" w:hAnsi="Arial" w:cs="Arial"/>
                <w:bCs/>
                <w:sz w:val="20"/>
                <w:szCs w:val="20"/>
              </w:rPr>
              <w:t xml:space="preserve"> 012 sorban meghatározottak szerinti rendelkezésre álló stabil forrásellátás és a 014 sorban meghatározottak szerinti szükséges stabil forrásellátás különbségét tartalmazza.</w:t>
            </w:r>
          </w:p>
        </w:tc>
      </w:tr>
      <w:tr w:rsidR="00FE6B4B" w:rsidRPr="00191B6F" w14:paraId="0558A321" w14:textId="77777777" w:rsidTr="00960BA9">
        <w:tc>
          <w:tcPr>
            <w:tcW w:w="905" w:type="dxa"/>
            <w:shd w:val="clear" w:color="auto" w:fill="auto"/>
            <w:tcMar>
              <w:top w:w="85" w:type="dxa"/>
            </w:tcMar>
            <w:vAlign w:val="center"/>
          </w:tcPr>
          <w:p w14:paraId="1D2A75F8"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030</w:t>
            </w:r>
          </w:p>
        </w:tc>
        <w:tc>
          <w:tcPr>
            <w:tcW w:w="1330" w:type="dxa"/>
            <w:vAlign w:val="center"/>
          </w:tcPr>
          <w:p w14:paraId="00FC659E" w14:textId="77777777" w:rsidR="00FE6B4B" w:rsidRPr="00191B6F" w:rsidRDefault="00FE6B4B" w:rsidP="00D16669">
            <w:pPr>
              <w:contextualSpacing/>
              <w:rPr>
                <w:rFonts w:ascii="Arial" w:hAnsi="Arial" w:cs="Arial"/>
                <w:sz w:val="20"/>
                <w:szCs w:val="20"/>
              </w:rPr>
            </w:pPr>
            <w:r>
              <w:rPr>
                <w:rFonts w:ascii="Arial" w:hAnsi="Arial" w:cs="Arial"/>
                <w:sz w:val="20"/>
                <w:szCs w:val="20"/>
              </w:rPr>
              <w:t>1.3.</w:t>
            </w:r>
          </w:p>
        </w:tc>
        <w:tc>
          <w:tcPr>
            <w:tcW w:w="2976" w:type="dxa"/>
            <w:shd w:val="clear" w:color="auto" w:fill="auto"/>
            <w:tcMar>
              <w:top w:w="85" w:type="dxa"/>
            </w:tcMar>
            <w:vAlign w:val="center"/>
          </w:tcPr>
          <w:p w14:paraId="6DD30C8D" w14:textId="77777777" w:rsidR="00FE6B4B" w:rsidRPr="00D80B60" w:rsidRDefault="00FE6B4B" w:rsidP="00BF0E35">
            <w:pPr>
              <w:contextualSpacing/>
              <w:jc w:val="both"/>
              <w:rPr>
                <w:rFonts w:ascii="Arial" w:hAnsi="Arial" w:cs="Arial"/>
                <w:sz w:val="20"/>
                <w:szCs w:val="20"/>
              </w:rPr>
            </w:pPr>
            <w:r w:rsidRPr="00D80B60">
              <w:rPr>
                <w:rFonts w:ascii="Arial" w:hAnsi="Arial" w:cs="Arial"/>
                <w:sz w:val="20"/>
                <w:szCs w:val="20"/>
              </w:rPr>
              <w:t>Likviditásfedezeti mutató (LCR) (százalék)</w:t>
            </w:r>
          </w:p>
        </w:tc>
        <w:tc>
          <w:tcPr>
            <w:tcW w:w="4253" w:type="dxa"/>
            <w:shd w:val="clear" w:color="auto" w:fill="auto"/>
            <w:tcMar>
              <w:top w:w="85" w:type="dxa"/>
            </w:tcMar>
            <w:vAlign w:val="center"/>
          </w:tcPr>
          <w:p w14:paraId="5495793B" w14:textId="34C6DD40" w:rsidR="00FE6B4B" w:rsidRPr="005343D5" w:rsidRDefault="005E7560" w:rsidP="00D16669">
            <w:pPr>
              <w:contextualSpacing/>
              <w:jc w:val="both"/>
              <w:rPr>
                <w:rFonts w:ascii="Arial" w:hAnsi="Arial" w:cs="Arial"/>
                <w:sz w:val="20"/>
                <w:szCs w:val="20"/>
              </w:rPr>
            </w:pPr>
            <w:r w:rsidRPr="00D80B60">
              <w:rPr>
                <w:rFonts w:ascii="Arial" w:hAnsi="Arial" w:cs="Arial"/>
                <w:sz w:val="20"/>
                <w:szCs w:val="20"/>
              </w:rPr>
              <w:t>Ez a tétel az (EU) 2015/61 felhatalmazáson alapuló bizottsági rendelet 4.</w:t>
            </w:r>
            <w:r w:rsidR="003B5538">
              <w:rPr>
                <w:rFonts w:ascii="Arial" w:hAnsi="Arial" w:cs="Arial"/>
                <w:sz w:val="20"/>
                <w:szCs w:val="20"/>
              </w:rPr>
              <w:t xml:space="preserve"> </w:t>
            </w:r>
            <w:r w:rsidRPr="00D80B60">
              <w:rPr>
                <w:rFonts w:ascii="Arial" w:hAnsi="Arial" w:cs="Arial"/>
                <w:sz w:val="20"/>
                <w:szCs w:val="20"/>
              </w:rPr>
              <w:t>cikk (1) bekezdésében, valamint a</w:t>
            </w:r>
            <w:r w:rsidR="009C456E">
              <w:rPr>
                <w:rFonts w:ascii="Arial" w:hAnsi="Arial" w:cs="Arial"/>
                <w:sz w:val="20"/>
                <w:szCs w:val="20"/>
              </w:rPr>
              <w:t>z</w:t>
            </w:r>
            <w:r w:rsidRPr="00D80B60">
              <w:rPr>
                <w:rFonts w:ascii="Arial" w:hAnsi="Arial" w:cs="Arial"/>
                <w:sz w:val="20"/>
                <w:szCs w:val="20"/>
              </w:rPr>
              <w:t xml:space="preserve"> </w:t>
            </w:r>
            <w:r w:rsidR="006A03DE">
              <w:rPr>
                <w:rFonts w:ascii="Arial" w:hAnsi="Arial" w:cs="Arial"/>
                <w:sz w:val="20"/>
                <w:szCs w:val="20"/>
              </w:rPr>
              <w:t>(EU) 2021/451</w:t>
            </w:r>
            <w:r w:rsidR="006A03DE" w:rsidRPr="00ED3820">
              <w:rPr>
                <w:rFonts w:ascii="Arial" w:hAnsi="Arial" w:cs="Arial"/>
                <w:sz w:val="20"/>
                <w:szCs w:val="20"/>
              </w:rPr>
              <w:t xml:space="preserve"> </w:t>
            </w:r>
            <w:r w:rsidRPr="00D80B60">
              <w:rPr>
                <w:rFonts w:ascii="Arial" w:hAnsi="Arial" w:cs="Arial"/>
                <w:sz w:val="20"/>
                <w:szCs w:val="20"/>
              </w:rPr>
              <w:t>bizottsági végrehajtási rendelet XXIV. és XXV</w:t>
            </w:r>
            <w:r w:rsidR="00DB64E8">
              <w:rPr>
                <w:rFonts w:ascii="Arial" w:hAnsi="Arial" w:cs="Arial"/>
                <w:sz w:val="20"/>
                <w:szCs w:val="20"/>
              </w:rPr>
              <w:t>.</w:t>
            </w:r>
            <w:r w:rsidRPr="00D80B60">
              <w:rPr>
                <w:rFonts w:ascii="Arial" w:hAnsi="Arial" w:cs="Arial"/>
                <w:sz w:val="20"/>
                <w:szCs w:val="20"/>
              </w:rPr>
              <w:t xml:space="preserve"> mellékletében meghatározottak szerint kiszámított LCR-t tartalmazza. </w:t>
            </w:r>
            <w:r w:rsidR="00FE6B4B" w:rsidRPr="00D80B60">
              <w:rPr>
                <w:rFonts w:ascii="Arial" w:hAnsi="Arial" w:cs="Arial"/>
                <w:sz w:val="20"/>
                <w:szCs w:val="20"/>
              </w:rPr>
              <w:t>Százalékos érték (egységnyi értékben kifejezve, nég</w:t>
            </w:r>
            <w:r w:rsidR="00FE6B4B" w:rsidRPr="005343D5">
              <w:rPr>
                <w:rFonts w:ascii="Arial" w:hAnsi="Arial" w:cs="Arial"/>
                <w:sz w:val="20"/>
                <w:szCs w:val="20"/>
              </w:rPr>
              <w:t xml:space="preserve">y tizedes jegy pontossággal). </w:t>
            </w:r>
          </w:p>
        </w:tc>
      </w:tr>
      <w:tr w:rsidR="002A6B69" w:rsidRPr="00191B6F" w14:paraId="18C486D5" w14:textId="77777777" w:rsidTr="00960BA9">
        <w:tc>
          <w:tcPr>
            <w:tcW w:w="905" w:type="dxa"/>
            <w:shd w:val="clear" w:color="auto" w:fill="auto"/>
            <w:tcMar>
              <w:top w:w="85" w:type="dxa"/>
            </w:tcMar>
            <w:vAlign w:val="center"/>
          </w:tcPr>
          <w:p w14:paraId="09F9F9F4" w14:textId="33EA4BCA" w:rsidR="00E36DDB" w:rsidRPr="00191B6F" w:rsidRDefault="002A6B69" w:rsidP="00D16669">
            <w:pPr>
              <w:contextualSpacing/>
              <w:rPr>
                <w:rFonts w:ascii="Arial" w:hAnsi="Arial" w:cs="Arial"/>
                <w:sz w:val="20"/>
                <w:szCs w:val="20"/>
              </w:rPr>
            </w:pPr>
            <w:r>
              <w:rPr>
                <w:rFonts w:ascii="Arial" w:hAnsi="Arial" w:cs="Arial"/>
                <w:sz w:val="20"/>
                <w:szCs w:val="20"/>
              </w:rPr>
              <w:t>032</w:t>
            </w:r>
          </w:p>
        </w:tc>
        <w:tc>
          <w:tcPr>
            <w:tcW w:w="1330" w:type="dxa"/>
            <w:vAlign w:val="center"/>
          </w:tcPr>
          <w:p w14:paraId="55F6B837" w14:textId="1CBF1B0F" w:rsidR="002A6B69" w:rsidRDefault="002A6B69" w:rsidP="00D16669">
            <w:pPr>
              <w:contextualSpacing/>
              <w:rPr>
                <w:rFonts w:ascii="Arial" w:hAnsi="Arial" w:cs="Arial"/>
                <w:sz w:val="20"/>
                <w:szCs w:val="20"/>
              </w:rPr>
            </w:pPr>
            <w:r>
              <w:rPr>
                <w:rFonts w:ascii="Arial" w:hAnsi="Arial" w:cs="Arial"/>
                <w:sz w:val="20"/>
                <w:szCs w:val="20"/>
              </w:rPr>
              <w:t>1.4.</w:t>
            </w:r>
          </w:p>
        </w:tc>
        <w:tc>
          <w:tcPr>
            <w:tcW w:w="2976" w:type="dxa"/>
            <w:shd w:val="clear" w:color="auto" w:fill="auto"/>
            <w:tcMar>
              <w:top w:w="85" w:type="dxa"/>
            </w:tcMar>
            <w:vAlign w:val="center"/>
          </w:tcPr>
          <w:p w14:paraId="7506071F" w14:textId="6DCC4859" w:rsidR="002A6B69" w:rsidRPr="00D80B60" w:rsidRDefault="002A6B69" w:rsidP="00BF0E35">
            <w:pPr>
              <w:contextualSpacing/>
              <w:jc w:val="both"/>
              <w:rPr>
                <w:rFonts w:ascii="Arial" w:hAnsi="Arial" w:cs="Arial"/>
                <w:sz w:val="20"/>
                <w:szCs w:val="20"/>
              </w:rPr>
            </w:pPr>
            <w:r w:rsidRPr="00D80B60">
              <w:rPr>
                <w:rFonts w:ascii="Arial" w:hAnsi="Arial" w:cs="Arial"/>
                <w:sz w:val="20"/>
                <w:szCs w:val="20"/>
              </w:rPr>
              <w:t>Likviditási puffer</w:t>
            </w:r>
          </w:p>
        </w:tc>
        <w:tc>
          <w:tcPr>
            <w:tcW w:w="4253" w:type="dxa"/>
            <w:shd w:val="clear" w:color="auto" w:fill="auto"/>
            <w:tcMar>
              <w:top w:w="85" w:type="dxa"/>
            </w:tcMar>
            <w:vAlign w:val="center"/>
          </w:tcPr>
          <w:p w14:paraId="034C14BF" w14:textId="2A81C810" w:rsidR="002A6B69" w:rsidRPr="00D80B60" w:rsidRDefault="005E7560" w:rsidP="00D16669">
            <w:pPr>
              <w:contextualSpacing/>
              <w:jc w:val="both"/>
              <w:rPr>
                <w:rFonts w:ascii="Arial" w:hAnsi="Arial" w:cs="Arial"/>
                <w:sz w:val="20"/>
                <w:szCs w:val="20"/>
              </w:rPr>
            </w:pPr>
            <w:r w:rsidRPr="00D80B60">
              <w:rPr>
                <w:rFonts w:ascii="Arial" w:hAnsi="Arial" w:cs="Arial"/>
                <w:sz w:val="20"/>
                <w:szCs w:val="20"/>
              </w:rPr>
              <w:t xml:space="preserve">Ez a tétel az (EU) 2015/61 felhatalmazáson alapuló bizottsági rendelet </w:t>
            </w:r>
            <w:r w:rsidR="007C3571">
              <w:rPr>
                <w:rFonts w:ascii="Arial" w:hAnsi="Arial" w:cs="Arial"/>
                <w:sz w:val="20"/>
                <w:szCs w:val="20"/>
              </w:rPr>
              <w:t xml:space="preserve">6. cikkében, </w:t>
            </w:r>
            <w:r w:rsidRPr="00D80B60">
              <w:rPr>
                <w:rFonts w:ascii="Arial" w:hAnsi="Arial" w:cs="Arial"/>
                <w:sz w:val="20"/>
                <w:szCs w:val="20"/>
              </w:rPr>
              <w:t>valamint a</w:t>
            </w:r>
            <w:r w:rsidR="009C456E">
              <w:rPr>
                <w:rFonts w:ascii="Arial" w:hAnsi="Arial" w:cs="Arial"/>
                <w:sz w:val="20"/>
                <w:szCs w:val="20"/>
              </w:rPr>
              <w:t>z</w:t>
            </w:r>
            <w:r w:rsidRPr="00D80B60">
              <w:rPr>
                <w:rFonts w:ascii="Arial" w:hAnsi="Arial" w:cs="Arial"/>
                <w:sz w:val="20"/>
                <w:szCs w:val="20"/>
              </w:rPr>
              <w:t xml:space="preserve"> </w:t>
            </w:r>
            <w:r w:rsidR="006A03DE">
              <w:rPr>
                <w:rFonts w:ascii="Arial" w:hAnsi="Arial" w:cs="Arial"/>
                <w:sz w:val="20"/>
                <w:szCs w:val="20"/>
              </w:rPr>
              <w:t>(EU) 2021/451</w:t>
            </w:r>
            <w:r w:rsidRPr="00D80B60">
              <w:rPr>
                <w:rFonts w:ascii="Arial" w:hAnsi="Arial" w:cs="Arial"/>
                <w:sz w:val="20"/>
                <w:szCs w:val="20"/>
              </w:rPr>
              <w:t xml:space="preserve"> bizottsági végrehajtási rendelet XXIV. és XXV. mellékletében meghatározottak szerint kiszámított likviditási puffert tartalmazza.</w:t>
            </w:r>
          </w:p>
        </w:tc>
      </w:tr>
      <w:tr w:rsidR="002A6B69" w:rsidRPr="00191B6F" w14:paraId="40642BE0" w14:textId="77777777" w:rsidTr="00960BA9">
        <w:tc>
          <w:tcPr>
            <w:tcW w:w="905" w:type="dxa"/>
            <w:shd w:val="clear" w:color="auto" w:fill="auto"/>
            <w:tcMar>
              <w:top w:w="85" w:type="dxa"/>
            </w:tcMar>
            <w:vAlign w:val="center"/>
          </w:tcPr>
          <w:p w14:paraId="467549A3" w14:textId="5C2711FD" w:rsidR="002A6B69" w:rsidRPr="00191B6F" w:rsidRDefault="002A6B69" w:rsidP="00D16669">
            <w:pPr>
              <w:contextualSpacing/>
              <w:rPr>
                <w:rFonts w:ascii="Arial" w:hAnsi="Arial" w:cs="Arial"/>
                <w:sz w:val="20"/>
                <w:szCs w:val="20"/>
              </w:rPr>
            </w:pPr>
            <w:r>
              <w:rPr>
                <w:rFonts w:ascii="Arial" w:hAnsi="Arial" w:cs="Arial"/>
                <w:sz w:val="20"/>
                <w:szCs w:val="20"/>
              </w:rPr>
              <w:t>034</w:t>
            </w:r>
          </w:p>
        </w:tc>
        <w:tc>
          <w:tcPr>
            <w:tcW w:w="1330" w:type="dxa"/>
            <w:vAlign w:val="center"/>
          </w:tcPr>
          <w:p w14:paraId="1C96BBCC" w14:textId="6F857DFE" w:rsidR="002A6B69" w:rsidRDefault="002A6B69" w:rsidP="00D16669">
            <w:pPr>
              <w:contextualSpacing/>
              <w:rPr>
                <w:rFonts w:ascii="Arial" w:hAnsi="Arial" w:cs="Arial"/>
                <w:sz w:val="20"/>
                <w:szCs w:val="20"/>
              </w:rPr>
            </w:pPr>
            <w:r>
              <w:rPr>
                <w:rFonts w:ascii="Arial" w:hAnsi="Arial" w:cs="Arial"/>
                <w:sz w:val="20"/>
                <w:szCs w:val="20"/>
              </w:rPr>
              <w:t>1.4.1.</w:t>
            </w:r>
          </w:p>
        </w:tc>
        <w:tc>
          <w:tcPr>
            <w:tcW w:w="2976" w:type="dxa"/>
            <w:shd w:val="clear" w:color="auto" w:fill="auto"/>
            <w:tcMar>
              <w:top w:w="85" w:type="dxa"/>
            </w:tcMar>
            <w:vAlign w:val="center"/>
          </w:tcPr>
          <w:p w14:paraId="5DAF42D2" w14:textId="51006A61" w:rsidR="002A6B69" w:rsidRPr="00D80B60" w:rsidRDefault="002A6B69" w:rsidP="00BF0E35">
            <w:pPr>
              <w:contextualSpacing/>
              <w:jc w:val="both"/>
              <w:rPr>
                <w:rFonts w:ascii="Arial" w:hAnsi="Arial" w:cs="Arial"/>
                <w:sz w:val="20"/>
                <w:szCs w:val="20"/>
              </w:rPr>
            </w:pPr>
            <w:r w:rsidRPr="00D80B60">
              <w:rPr>
                <w:rFonts w:ascii="Arial" w:hAnsi="Arial" w:cs="Arial"/>
                <w:sz w:val="20"/>
                <w:szCs w:val="20"/>
              </w:rPr>
              <w:t>Nettó likviditáskiáramlás</w:t>
            </w:r>
          </w:p>
        </w:tc>
        <w:tc>
          <w:tcPr>
            <w:tcW w:w="4253" w:type="dxa"/>
            <w:shd w:val="clear" w:color="auto" w:fill="auto"/>
            <w:tcMar>
              <w:top w:w="85" w:type="dxa"/>
            </w:tcMar>
            <w:vAlign w:val="center"/>
          </w:tcPr>
          <w:p w14:paraId="27A35798" w14:textId="44AD347D" w:rsidR="002A6B69" w:rsidRPr="00D80B60" w:rsidRDefault="005E7560" w:rsidP="00D16669">
            <w:pPr>
              <w:contextualSpacing/>
              <w:jc w:val="both"/>
              <w:rPr>
                <w:rFonts w:ascii="Arial" w:hAnsi="Arial" w:cs="Arial"/>
                <w:sz w:val="20"/>
                <w:szCs w:val="20"/>
              </w:rPr>
            </w:pPr>
            <w:r w:rsidRPr="00D80B60">
              <w:rPr>
                <w:rFonts w:ascii="Arial" w:hAnsi="Arial" w:cs="Arial"/>
                <w:sz w:val="20"/>
                <w:szCs w:val="20"/>
              </w:rPr>
              <w:t>Ez a tétel az (EU) 2015/61 felhatalmazáson alapuló bizottsági rendelet</w:t>
            </w:r>
            <w:r w:rsidR="007C3571">
              <w:rPr>
                <w:rFonts w:ascii="Arial" w:hAnsi="Arial" w:cs="Arial"/>
                <w:sz w:val="20"/>
                <w:szCs w:val="20"/>
              </w:rPr>
              <w:t xml:space="preserve"> 20.</w:t>
            </w:r>
            <w:r w:rsidR="001C2344">
              <w:rPr>
                <w:rFonts w:ascii="Arial" w:hAnsi="Arial" w:cs="Arial"/>
                <w:sz w:val="20"/>
                <w:szCs w:val="20"/>
              </w:rPr>
              <w:t xml:space="preserve"> </w:t>
            </w:r>
            <w:r w:rsidR="007C3571">
              <w:rPr>
                <w:rFonts w:ascii="Arial" w:hAnsi="Arial" w:cs="Arial"/>
                <w:sz w:val="20"/>
                <w:szCs w:val="20"/>
              </w:rPr>
              <w:t>cikkében</w:t>
            </w:r>
            <w:r w:rsidRPr="00D80B60">
              <w:rPr>
                <w:rFonts w:ascii="Arial" w:hAnsi="Arial" w:cs="Arial"/>
                <w:sz w:val="20"/>
                <w:szCs w:val="20"/>
              </w:rPr>
              <w:t>, valamint a</w:t>
            </w:r>
            <w:r w:rsidR="009C456E">
              <w:rPr>
                <w:rFonts w:ascii="Arial" w:hAnsi="Arial" w:cs="Arial"/>
                <w:sz w:val="20"/>
                <w:szCs w:val="20"/>
              </w:rPr>
              <w:t>z</w:t>
            </w:r>
            <w:r w:rsidRPr="00D80B60">
              <w:rPr>
                <w:rFonts w:ascii="Arial" w:hAnsi="Arial" w:cs="Arial"/>
                <w:sz w:val="20"/>
                <w:szCs w:val="20"/>
              </w:rPr>
              <w:t xml:space="preserve"> </w:t>
            </w:r>
            <w:r w:rsidR="006A03DE">
              <w:rPr>
                <w:rFonts w:ascii="Arial" w:hAnsi="Arial" w:cs="Arial"/>
                <w:sz w:val="20"/>
                <w:szCs w:val="20"/>
              </w:rPr>
              <w:t>(EU) 2021/451</w:t>
            </w:r>
            <w:r w:rsidRPr="00D80B60">
              <w:rPr>
                <w:rFonts w:ascii="Arial" w:hAnsi="Arial" w:cs="Arial"/>
                <w:sz w:val="20"/>
                <w:szCs w:val="20"/>
              </w:rPr>
              <w:t xml:space="preserve"> bizottsági végrehajtási rendelet XXIV. és XXV. mellékletében meghatározottak szerin</w:t>
            </w:r>
            <w:r w:rsidR="005062A6">
              <w:rPr>
                <w:rFonts w:ascii="Arial" w:hAnsi="Arial" w:cs="Arial"/>
                <w:sz w:val="20"/>
                <w:szCs w:val="20"/>
              </w:rPr>
              <w:t xml:space="preserve"> </w:t>
            </w:r>
            <w:r w:rsidRPr="00D80B60">
              <w:rPr>
                <w:rFonts w:ascii="Arial" w:hAnsi="Arial" w:cs="Arial"/>
                <w:sz w:val="20"/>
                <w:szCs w:val="20"/>
              </w:rPr>
              <w:t>kiszámított nettó likviditáskiáramlást tartalmazza.</w:t>
            </w:r>
          </w:p>
        </w:tc>
      </w:tr>
      <w:tr w:rsidR="002A6B69" w:rsidRPr="00191B6F" w14:paraId="212C1F1A" w14:textId="77777777" w:rsidTr="00960BA9">
        <w:tc>
          <w:tcPr>
            <w:tcW w:w="905" w:type="dxa"/>
            <w:shd w:val="clear" w:color="auto" w:fill="auto"/>
            <w:tcMar>
              <w:top w:w="85" w:type="dxa"/>
            </w:tcMar>
            <w:vAlign w:val="center"/>
          </w:tcPr>
          <w:p w14:paraId="5DF3F90E" w14:textId="32CDD5F0" w:rsidR="002A6B69" w:rsidRPr="00191B6F" w:rsidRDefault="002A6B69" w:rsidP="00D16669">
            <w:pPr>
              <w:contextualSpacing/>
              <w:rPr>
                <w:rFonts w:ascii="Arial" w:hAnsi="Arial" w:cs="Arial"/>
                <w:sz w:val="20"/>
                <w:szCs w:val="20"/>
              </w:rPr>
            </w:pPr>
            <w:r>
              <w:rPr>
                <w:rFonts w:ascii="Arial" w:hAnsi="Arial" w:cs="Arial"/>
                <w:sz w:val="20"/>
                <w:szCs w:val="20"/>
              </w:rPr>
              <w:t>035</w:t>
            </w:r>
          </w:p>
        </w:tc>
        <w:tc>
          <w:tcPr>
            <w:tcW w:w="1330" w:type="dxa"/>
            <w:vAlign w:val="center"/>
          </w:tcPr>
          <w:p w14:paraId="73A66F44" w14:textId="3119A6BD" w:rsidR="002A6B69" w:rsidRDefault="002A6B69" w:rsidP="00D16669">
            <w:pPr>
              <w:contextualSpacing/>
              <w:rPr>
                <w:rFonts w:ascii="Arial" w:hAnsi="Arial" w:cs="Arial"/>
                <w:sz w:val="20"/>
                <w:szCs w:val="20"/>
              </w:rPr>
            </w:pPr>
            <w:r>
              <w:rPr>
                <w:rFonts w:ascii="Arial" w:hAnsi="Arial" w:cs="Arial"/>
                <w:sz w:val="20"/>
                <w:szCs w:val="20"/>
              </w:rPr>
              <w:t>1.4.1.1.</w:t>
            </w:r>
          </w:p>
        </w:tc>
        <w:tc>
          <w:tcPr>
            <w:tcW w:w="2976" w:type="dxa"/>
            <w:shd w:val="clear" w:color="auto" w:fill="auto"/>
            <w:tcMar>
              <w:top w:w="85" w:type="dxa"/>
            </w:tcMar>
            <w:vAlign w:val="center"/>
          </w:tcPr>
          <w:p w14:paraId="53077418" w14:textId="17FDE262" w:rsidR="002A6B69" w:rsidRPr="00D80B60" w:rsidRDefault="002A6B69" w:rsidP="00BF0E35">
            <w:pPr>
              <w:contextualSpacing/>
              <w:jc w:val="both"/>
              <w:rPr>
                <w:rFonts w:ascii="Arial" w:hAnsi="Arial" w:cs="Arial"/>
                <w:sz w:val="20"/>
                <w:szCs w:val="20"/>
              </w:rPr>
            </w:pPr>
            <w:r w:rsidRPr="00D80B60">
              <w:rPr>
                <w:rFonts w:ascii="Arial" w:hAnsi="Arial" w:cs="Arial"/>
                <w:sz w:val="20"/>
                <w:szCs w:val="20"/>
              </w:rPr>
              <w:t>Kiáramlások összesen</w:t>
            </w:r>
          </w:p>
        </w:tc>
        <w:tc>
          <w:tcPr>
            <w:tcW w:w="4253" w:type="dxa"/>
            <w:shd w:val="clear" w:color="auto" w:fill="auto"/>
            <w:tcMar>
              <w:top w:w="85" w:type="dxa"/>
            </w:tcMar>
            <w:vAlign w:val="center"/>
          </w:tcPr>
          <w:p w14:paraId="5FFDA83D" w14:textId="11B21D3C" w:rsidR="002A6B69" w:rsidRPr="00D80B60" w:rsidRDefault="005E7560" w:rsidP="00D16669">
            <w:pPr>
              <w:contextualSpacing/>
              <w:jc w:val="both"/>
              <w:rPr>
                <w:rFonts w:ascii="Arial" w:hAnsi="Arial" w:cs="Arial"/>
                <w:sz w:val="20"/>
                <w:szCs w:val="20"/>
              </w:rPr>
            </w:pPr>
            <w:bookmarkStart w:id="6" w:name="_Hlk45199214"/>
            <w:r w:rsidRPr="00D80B60">
              <w:rPr>
                <w:rFonts w:ascii="Arial" w:hAnsi="Arial" w:cs="Arial"/>
                <w:sz w:val="20"/>
                <w:szCs w:val="20"/>
              </w:rPr>
              <w:t xml:space="preserve">A hitelintézeteknek itt kell jelenteniük a kiáramlásokat az </w:t>
            </w:r>
            <w:bookmarkStart w:id="7" w:name="_Hlk50031735"/>
            <w:r w:rsidRPr="00D80B60">
              <w:rPr>
                <w:rFonts w:ascii="Arial" w:hAnsi="Arial" w:cs="Arial"/>
                <w:sz w:val="20"/>
                <w:szCs w:val="20"/>
              </w:rPr>
              <w:t>(EU) 2015/61 felhatalmazáson alapuló bizottsági rendelet</w:t>
            </w:r>
            <w:bookmarkEnd w:id="7"/>
            <w:r w:rsidRPr="00D80B60">
              <w:rPr>
                <w:rFonts w:ascii="Arial" w:hAnsi="Arial" w:cs="Arial"/>
                <w:sz w:val="20"/>
                <w:szCs w:val="20"/>
              </w:rPr>
              <w:t xml:space="preserve"> </w:t>
            </w:r>
            <w:r w:rsidR="001C2344" w:rsidRPr="00D80B60">
              <w:rPr>
                <w:rFonts w:ascii="Arial" w:hAnsi="Arial" w:cs="Arial"/>
                <w:sz w:val="20"/>
                <w:szCs w:val="20"/>
              </w:rPr>
              <w:t>III. </w:t>
            </w:r>
            <w:r w:rsidR="00257137">
              <w:rPr>
                <w:rFonts w:ascii="Arial" w:hAnsi="Arial" w:cs="Arial"/>
                <w:sz w:val="20"/>
                <w:szCs w:val="20"/>
              </w:rPr>
              <w:t>C</w:t>
            </w:r>
            <w:r w:rsidR="001C2344" w:rsidRPr="00D80B60">
              <w:rPr>
                <w:rFonts w:ascii="Arial" w:hAnsi="Arial" w:cs="Arial"/>
                <w:sz w:val="20"/>
                <w:szCs w:val="20"/>
              </w:rPr>
              <w:t xml:space="preserve">ím </w:t>
            </w:r>
            <w:r w:rsidRPr="00D80B60">
              <w:rPr>
                <w:rFonts w:ascii="Arial" w:hAnsi="Arial" w:cs="Arial"/>
                <w:sz w:val="20"/>
                <w:szCs w:val="20"/>
              </w:rPr>
              <w:t>2. fejeze</w:t>
            </w:r>
            <w:r w:rsidR="001C2344">
              <w:rPr>
                <w:rFonts w:ascii="Arial" w:hAnsi="Arial" w:cs="Arial"/>
                <w:sz w:val="20"/>
                <w:szCs w:val="20"/>
              </w:rPr>
              <w:t>t</w:t>
            </w:r>
            <w:r w:rsidR="0031049A">
              <w:rPr>
                <w:rFonts w:ascii="Arial" w:hAnsi="Arial" w:cs="Arial"/>
                <w:sz w:val="20"/>
                <w:szCs w:val="20"/>
              </w:rPr>
              <w:t>,</w:t>
            </w:r>
            <w:r w:rsidR="001C2344">
              <w:rPr>
                <w:rFonts w:ascii="Arial" w:hAnsi="Arial" w:cs="Arial"/>
                <w:sz w:val="20"/>
                <w:szCs w:val="20"/>
              </w:rPr>
              <w:t xml:space="preserve"> </w:t>
            </w:r>
            <w:bookmarkEnd w:id="6"/>
            <w:r w:rsidRPr="00D80B60">
              <w:rPr>
                <w:rFonts w:ascii="Arial" w:hAnsi="Arial" w:cs="Arial"/>
                <w:sz w:val="20"/>
                <w:szCs w:val="20"/>
              </w:rPr>
              <w:t>valamint a</w:t>
            </w:r>
            <w:r w:rsidR="006A03DE">
              <w:rPr>
                <w:rFonts w:ascii="Arial" w:hAnsi="Arial" w:cs="Arial"/>
                <w:sz w:val="20"/>
                <w:szCs w:val="20"/>
              </w:rPr>
              <w:t>z</w:t>
            </w:r>
            <w:r w:rsidRPr="00D80B60">
              <w:rPr>
                <w:rFonts w:ascii="Arial" w:hAnsi="Arial" w:cs="Arial"/>
                <w:sz w:val="20"/>
                <w:szCs w:val="20"/>
              </w:rPr>
              <w:t xml:space="preserve"> </w:t>
            </w:r>
            <w:r w:rsidR="006A03DE">
              <w:rPr>
                <w:rFonts w:ascii="Arial" w:hAnsi="Arial" w:cs="Arial"/>
                <w:sz w:val="20"/>
                <w:szCs w:val="20"/>
              </w:rPr>
              <w:t>(EU) 2021/451</w:t>
            </w:r>
            <w:r w:rsidR="006A03DE" w:rsidRPr="00ED3820">
              <w:rPr>
                <w:rFonts w:ascii="Arial" w:hAnsi="Arial" w:cs="Arial"/>
                <w:sz w:val="20"/>
                <w:szCs w:val="20"/>
              </w:rPr>
              <w:t xml:space="preserve"> </w:t>
            </w:r>
            <w:r w:rsidRPr="00D80B60">
              <w:rPr>
                <w:rFonts w:ascii="Arial" w:hAnsi="Arial" w:cs="Arial"/>
                <w:sz w:val="20"/>
                <w:szCs w:val="20"/>
              </w:rPr>
              <w:t>bizottsági végrehajtási rendelet XXIV. és XXV. melléklete szerint.</w:t>
            </w:r>
          </w:p>
        </w:tc>
      </w:tr>
      <w:tr w:rsidR="002A6B69" w:rsidRPr="00191B6F" w14:paraId="39152C0D" w14:textId="77777777" w:rsidTr="00960BA9">
        <w:tc>
          <w:tcPr>
            <w:tcW w:w="905" w:type="dxa"/>
            <w:shd w:val="clear" w:color="auto" w:fill="auto"/>
            <w:tcMar>
              <w:top w:w="85" w:type="dxa"/>
            </w:tcMar>
            <w:vAlign w:val="center"/>
          </w:tcPr>
          <w:p w14:paraId="08F5B06C" w14:textId="67026DE3" w:rsidR="002A6B69" w:rsidRPr="00191B6F" w:rsidRDefault="002A6B69" w:rsidP="00D16669">
            <w:pPr>
              <w:contextualSpacing/>
              <w:rPr>
                <w:rFonts w:ascii="Arial" w:hAnsi="Arial" w:cs="Arial"/>
                <w:sz w:val="20"/>
                <w:szCs w:val="20"/>
              </w:rPr>
            </w:pPr>
            <w:r>
              <w:rPr>
                <w:rFonts w:ascii="Arial" w:hAnsi="Arial" w:cs="Arial"/>
                <w:sz w:val="20"/>
                <w:szCs w:val="20"/>
              </w:rPr>
              <w:t>036</w:t>
            </w:r>
          </w:p>
        </w:tc>
        <w:tc>
          <w:tcPr>
            <w:tcW w:w="1330" w:type="dxa"/>
            <w:vAlign w:val="center"/>
          </w:tcPr>
          <w:p w14:paraId="547DE584" w14:textId="3490CDAB" w:rsidR="002A6B69" w:rsidRDefault="002A6B69" w:rsidP="00D16669">
            <w:pPr>
              <w:contextualSpacing/>
              <w:rPr>
                <w:rFonts w:ascii="Arial" w:hAnsi="Arial" w:cs="Arial"/>
                <w:sz w:val="20"/>
                <w:szCs w:val="20"/>
              </w:rPr>
            </w:pPr>
            <w:r>
              <w:rPr>
                <w:rFonts w:ascii="Arial" w:hAnsi="Arial" w:cs="Arial"/>
                <w:sz w:val="20"/>
                <w:szCs w:val="20"/>
              </w:rPr>
              <w:t>1.4.2.1.</w:t>
            </w:r>
          </w:p>
        </w:tc>
        <w:tc>
          <w:tcPr>
            <w:tcW w:w="2976" w:type="dxa"/>
            <w:shd w:val="clear" w:color="auto" w:fill="auto"/>
            <w:tcMar>
              <w:top w:w="85" w:type="dxa"/>
            </w:tcMar>
            <w:vAlign w:val="center"/>
          </w:tcPr>
          <w:p w14:paraId="7CDAE153" w14:textId="01E28699" w:rsidR="002A6B69" w:rsidRPr="00D80B60" w:rsidRDefault="002A6B69" w:rsidP="00BF0E35">
            <w:pPr>
              <w:contextualSpacing/>
              <w:jc w:val="both"/>
              <w:rPr>
                <w:rFonts w:ascii="Arial" w:hAnsi="Arial" w:cs="Arial"/>
                <w:sz w:val="20"/>
                <w:szCs w:val="20"/>
              </w:rPr>
            </w:pPr>
            <w:r w:rsidRPr="00D80B60">
              <w:rPr>
                <w:rFonts w:ascii="Arial" w:hAnsi="Arial" w:cs="Arial"/>
                <w:sz w:val="20"/>
                <w:szCs w:val="20"/>
              </w:rPr>
              <w:t>Visszaváltások beáramlásoknál összesen</w:t>
            </w:r>
          </w:p>
        </w:tc>
        <w:tc>
          <w:tcPr>
            <w:tcW w:w="4253" w:type="dxa"/>
            <w:shd w:val="clear" w:color="auto" w:fill="auto"/>
            <w:tcMar>
              <w:top w:w="85" w:type="dxa"/>
            </w:tcMar>
            <w:vAlign w:val="center"/>
          </w:tcPr>
          <w:p w14:paraId="74032E53" w14:textId="6DE7387C" w:rsidR="002A6B69" w:rsidRPr="00D80B60" w:rsidRDefault="005E7560" w:rsidP="00D16669">
            <w:pPr>
              <w:contextualSpacing/>
              <w:jc w:val="both"/>
              <w:rPr>
                <w:rFonts w:ascii="Arial" w:hAnsi="Arial" w:cs="Arial"/>
                <w:sz w:val="20"/>
                <w:szCs w:val="20"/>
              </w:rPr>
            </w:pPr>
            <w:r w:rsidRPr="00D80B60">
              <w:rPr>
                <w:rFonts w:ascii="Arial" w:hAnsi="Arial" w:cs="Arial"/>
                <w:sz w:val="20"/>
                <w:szCs w:val="20"/>
              </w:rPr>
              <w:t>A hitelintézeteknek itt kell jelenteniük a beáramlásokat a visszaváltásoknál az (EU) 2015/61 felhatalmazáson alapuló bizottsági rendelet</w:t>
            </w:r>
            <w:r w:rsidR="0071110E">
              <w:rPr>
                <w:rFonts w:ascii="Arial" w:hAnsi="Arial" w:cs="Arial"/>
                <w:sz w:val="20"/>
                <w:szCs w:val="20"/>
              </w:rPr>
              <w:t xml:space="preserve"> </w:t>
            </w:r>
            <w:r w:rsidR="0071110E" w:rsidRPr="00D80B60">
              <w:rPr>
                <w:rFonts w:ascii="Arial" w:hAnsi="Arial" w:cs="Arial"/>
                <w:sz w:val="20"/>
                <w:szCs w:val="20"/>
              </w:rPr>
              <w:t>III. </w:t>
            </w:r>
            <w:r w:rsidR="00735F4B">
              <w:rPr>
                <w:rFonts w:ascii="Arial" w:hAnsi="Arial" w:cs="Arial"/>
                <w:sz w:val="20"/>
                <w:szCs w:val="20"/>
              </w:rPr>
              <w:t>C</w:t>
            </w:r>
            <w:r w:rsidR="0071110E" w:rsidRPr="00D80B60">
              <w:rPr>
                <w:rFonts w:ascii="Arial" w:hAnsi="Arial" w:cs="Arial"/>
                <w:sz w:val="20"/>
                <w:szCs w:val="20"/>
              </w:rPr>
              <w:t>ím</w:t>
            </w:r>
            <w:r w:rsidR="0031049A">
              <w:rPr>
                <w:rFonts w:ascii="Arial" w:hAnsi="Arial" w:cs="Arial"/>
                <w:sz w:val="20"/>
                <w:szCs w:val="20"/>
              </w:rPr>
              <w:t xml:space="preserve"> </w:t>
            </w:r>
            <w:r w:rsidRPr="00D80B60">
              <w:rPr>
                <w:rFonts w:ascii="Arial" w:hAnsi="Arial" w:cs="Arial"/>
                <w:sz w:val="20"/>
                <w:szCs w:val="20"/>
              </w:rPr>
              <w:t>3. fejezet</w:t>
            </w:r>
            <w:r w:rsidR="0031049A">
              <w:rPr>
                <w:rFonts w:ascii="Arial" w:hAnsi="Arial" w:cs="Arial"/>
                <w:sz w:val="20"/>
                <w:szCs w:val="20"/>
              </w:rPr>
              <w:t xml:space="preserve">, </w:t>
            </w:r>
            <w:r w:rsidRPr="00D80B60">
              <w:rPr>
                <w:rFonts w:ascii="Arial" w:hAnsi="Arial" w:cs="Arial"/>
                <w:sz w:val="20"/>
                <w:szCs w:val="20"/>
              </w:rPr>
              <w:t>valamint a</w:t>
            </w:r>
            <w:r w:rsidR="006A03DE">
              <w:rPr>
                <w:rFonts w:ascii="Arial" w:hAnsi="Arial" w:cs="Arial"/>
                <w:sz w:val="20"/>
                <w:szCs w:val="20"/>
              </w:rPr>
              <w:t>z</w:t>
            </w:r>
            <w:r w:rsidRPr="00D80B60">
              <w:rPr>
                <w:rFonts w:ascii="Arial" w:hAnsi="Arial" w:cs="Arial"/>
                <w:sz w:val="20"/>
                <w:szCs w:val="20"/>
              </w:rPr>
              <w:t xml:space="preserve"> </w:t>
            </w:r>
            <w:r w:rsidR="006A03DE">
              <w:rPr>
                <w:rFonts w:ascii="Arial" w:hAnsi="Arial" w:cs="Arial"/>
                <w:sz w:val="20"/>
                <w:szCs w:val="20"/>
              </w:rPr>
              <w:t>(EU) 2021/451</w:t>
            </w:r>
            <w:r w:rsidR="006A03DE" w:rsidRPr="00ED3820">
              <w:rPr>
                <w:rFonts w:ascii="Arial" w:hAnsi="Arial" w:cs="Arial"/>
                <w:sz w:val="20"/>
                <w:szCs w:val="20"/>
              </w:rPr>
              <w:t xml:space="preserve"> </w:t>
            </w:r>
            <w:r w:rsidRPr="00D80B60">
              <w:rPr>
                <w:rFonts w:ascii="Arial" w:hAnsi="Arial" w:cs="Arial"/>
                <w:sz w:val="20"/>
                <w:szCs w:val="20"/>
              </w:rPr>
              <w:t>bizottsági végrehajtási rendelet XXIV. és XXV. melléklete szerint. Ez a tétel tartalmazza a teljesen mentes beáramlások, a 90%-os felső korlát alá tartozó beáramlások és a 75%-os felső korlát alá eső beáramlások csökkentéseinek összegét.</w:t>
            </w:r>
          </w:p>
        </w:tc>
      </w:tr>
      <w:tr w:rsidR="00FE6B4B" w:rsidRPr="00191B6F" w14:paraId="535651D0" w14:textId="77777777" w:rsidTr="00960BA9">
        <w:tc>
          <w:tcPr>
            <w:tcW w:w="905" w:type="dxa"/>
            <w:shd w:val="clear" w:color="auto" w:fill="auto"/>
            <w:tcMar>
              <w:top w:w="85" w:type="dxa"/>
            </w:tcMar>
            <w:vAlign w:val="center"/>
          </w:tcPr>
          <w:p w14:paraId="3476E289"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040</w:t>
            </w:r>
          </w:p>
        </w:tc>
        <w:tc>
          <w:tcPr>
            <w:tcW w:w="1330" w:type="dxa"/>
            <w:vAlign w:val="center"/>
          </w:tcPr>
          <w:p w14:paraId="4FDD686D" w14:textId="76F84E3C" w:rsidR="00FE6B4B" w:rsidRPr="00191B6F" w:rsidRDefault="00FE6B4B" w:rsidP="00D16669">
            <w:pPr>
              <w:contextualSpacing/>
              <w:rPr>
                <w:rFonts w:ascii="Arial" w:hAnsi="Arial" w:cs="Arial"/>
                <w:sz w:val="20"/>
                <w:szCs w:val="20"/>
              </w:rPr>
            </w:pPr>
            <w:r>
              <w:rPr>
                <w:rFonts w:ascii="Arial" w:hAnsi="Arial" w:cs="Arial"/>
                <w:sz w:val="20"/>
                <w:szCs w:val="20"/>
              </w:rPr>
              <w:t>1.4.</w:t>
            </w:r>
            <w:r w:rsidR="005E7560">
              <w:rPr>
                <w:rFonts w:ascii="Arial" w:hAnsi="Arial" w:cs="Arial"/>
                <w:sz w:val="20"/>
                <w:szCs w:val="20"/>
              </w:rPr>
              <w:t>2.</w:t>
            </w:r>
          </w:p>
        </w:tc>
        <w:tc>
          <w:tcPr>
            <w:tcW w:w="2976" w:type="dxa"/>
            <w:shd w:val="clear" w:color="auto" w:fill="auto"/>
            <w:tcMar>
              <w:top w:w="85" w:type="dxa"/>
            </w:tcMar>
            <w:vAlign w:val="center"/>
          </w:tcPr>
          <w:p w14:paraId="7BFC0273" w14:textId="77777777" w:rsidR="00FE6B4B" w:rsidRPr="00D80B60" w:rsidRDefault="00FE6B4B" w:rsidP="00BF0E35">
            <w:pPr>
              <w:contextualSpacing/>
              <w:jc w:val="both"/>
              <w:rPr>
                <w:rFonts w:ascii="Arial" w:hAnsi="Arial" w:cs="Arial"/>
                <w:sz w:val="20"/>
                <w:szCs w:val="20"/>
              </w:rPr>
            </w:pPr>
            <w:r w:rsidRPr="00D80B60">
              <w:rPr>
                <w:rFonts w:ascii="Arial" w:hAnsi="Arial" w:cs="Arial"/>
                <w:sz w:val="20"/>
                <w:szCs w:val="20"/>
              </w:rPr>
              <w:t>LCR többlet/(hiány)</w:t>
            </w:r>
          </w:p>
        </w:tc>
        <w:tc>
          <w:tcPr>
            <w:tcW w:w="4253" w:type="dxa"/>
            <w:shd w:val="clear" w:color="auto" w:fill="auto"/>
            <w:tcMar>
              <w:top w:w="85" w:type="dxa"/>
            </w:tcMar>
            <w:vAlign w:val="center"/>
          </w:tcPr>
          <w:p w14:paraId="0DF6E25A" w14:textId="726E8EFE" w:rsidR="00FE6B4B" w:rsidRPr="002760F6" w:rsidRDefault="00F840B8" w:rsidP="00D16669">
            <w:pPr>
              <w:contextualSpacing/>
              <w:jc w:val="both"/>
              <w:rPr>
                <w:rFonts w:ascii="Arial" w:hAnsi="Arial" w:cs="Arial"/>
                <w:sz w:val="20"/>
                <w:szCs w:val="20"/>
              </w:rPr>
            </w:pPr>
            <w:r>
              <w:rPr>
                <w:rFonts w:ascii="Arial" w:hAnsi="Arial" w:cs="Arial"/>
                <w:sz w:val="20"/>
                <w:szCs w:val="20"/>
              </w:rPr>
              <w:t>T</w:t>
            </w:r>
            <w:r w:rsidR="005E7560" w:rsidRPr="00D80B60">
              <w:rPr>
                <w:rFonts w:ascii="Arial" w:hAnsi="Arial" w:cs="Arial"/>
                <w:sz w:val="20"/>
                <w:szCs w:val="20"/>
              </w:rPr>
              <w:t xml:space="preserve">artalmazza a 032 sorban meghatározott likviditási puffer és a 034 sorban meghatározott nettó likviditási kiáramlás különbségét. </w:t>
            </w:r>
            <w:r w:rsidR="00FE6B4B" w:rsidRPr="00D80B60">
              <w:rPr>
                <w:rFonts w:ascii="Arial" w:hAnsi="Arial" w:cs="Arial"/>
                <w:sz w:val="20"/>
                <w:szCs w:val="20"/>
              </w:rPr>
              <w:t xml:space="preserve">Likvid eszközök csökkentve a nettó kiáramlással </w:t>
            </w:r>
            <w:r w:rsidR="00FE6B4B" w:rsidRPr="005343D5">
              <w:rPr>
                <w:rFonts w:ascii="Arial" w:hAnsi="Arial" w:cs="Arial"/>
                <w:sz w:val="20"/>
                <w:szCs w:val="20"/>
              </w:rPr>
              <w:t>(100%-os szinthez számított többlet/hiány).</w:t>
            </w:r>
          </w:p>
        </w:tc>
      </w:tr>
    </w:tbl>
    <w:p w14:paraId="318D7E77" w14:textId="60E191A2" w:rsidR="002A6C9E" w:rsidRDefault="002A6C9E" w:rsidP="00FE6B4B">
      <w:pPr>
        <w:rPr>
          <w:rFonts w:ascii="Arial" w:hAnsi="Arial" w:cs="Arial"/>
          <w:b/>
          <w:sz w:val="20"/>
          <w:szCs w:val="20"/>
        </w:rPr>
      </w:pPr>
    </w:p>
    <w:p w14:paraId="489CE4D8" w14:textId="77777777" w:rsidR="002A6C9E" w:rsidRDefault="002A6C9E">
      <w:pPr>
        <w:rPr>
          <w:rFonts w:ascii="Arial" w:hAnsi="Arial" w:cs="Arial"/>
          <w:b/>
          <w:sz w:val="20"/>
          <w:szCs w:val="20"/>
        </w:rPr>
      </w:pPr>
      <w:r>
        <w:rPr>
          <w:rFonts w:ascii="Arial" w:hAnsi="Arial" w:cs="Arial"/>
          <w:b/>
          <w:sz w:val="20"/>
          <w:szCs w:val="20"/>
        </w:rPr>
        <w:br w:type="page"/>
      </w:r>
    </w:p>
    <w:p w14:paraId="3C248A7C" w14:textId="77777777" w:rsidR="00FE6B4B" w:rsidRPr="001B098C" w:rsidRDefault="00FE6B4B" w:rsidP="00FE6B4B">
      <w:pPr>
        <w:rPr>
          <w:rFonts w:ascii="Arial" w:hAnsi="Arial" w:cs="Arial"/>
          <w:b/>
          <w:sz w:val="20"/>
          <w:szCs w:val="20"/>
        </w:rPr>
      </w:pPr>
    </w:p>
    <w:p w14:paraId="1C397645" w14:textId="77777777" w:rsidR="00FE6B4B" w:rsidRDefault="00FE6B4B" w:rsidP="00FE6B4B">
      <w:pPr>
        <w:rPr>
          <w:rFonts w:ascii="Arial" w:hAnsi="Arial" w:cs="Arial"/>
          <w:b/>
          <w:sz w:val="20"/>
          <w:szCs w:val="20"/>
        </w:rPr>
      </w:pPr>
      <w:r w:rsidRPr="00352BD3">
        <w:rPr>
          <w:rFonts w:ascii="Arial" w:hAnsi="Arial" w:cs="Arial"/>
          <w:b/>
          <w:sz w:val="20"/>
          <w:szCs w:val="20"/>
        </w:rPr>
        <w:t>A tábla oszlopai</w:t>
      </w:r>
    </w:p>
    <w:p w14:paraId="637B0324" w14:textId="77777777" w:rsidR="00FE6B4B" w:rsidRPr="00352BD3" w:rsidRDefault="00FE6B4B" w:rsidP="00FE6B4B">
      <w:pPr>
        <w:rPr>
          <w:rFonts w:ascii="Arial" w:hAnsi="Arial" w:cs="Arial"/>
          <w:b/>
          <w:sz w:val="20"/>
          <w:szCs w:val="20"/>
        </w:rPr>
      </w:pPr>
    </w:p>
    <w:tbl>
      <w:tblPr>
        <w:tblW w:w="9464" w:type="dxa"/>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Look w:val="04A0" w:firstRow="1" w:lastRow="0" w:firstColumn="1" w:lastColumn="0" w:noHBand="0" w:noVBand="1"/>
      </w:tblPr>
      <w:tblGrid>
        <w:gridCol w:w="905"/>
        <w:gridCol w:w="3456"/>
        <w:gridCol w:w="5103"/>
      </w:tblGrid>
      <w:tr w:rsidR="00FE6B4B" w:rsidRPr="00191B6F" w14:paraId="5B26C8A2" w14:textId="77777777" w:rsidTr="00960BA9">
        <w:tc>
          <w:tcPr>
            <w:tcW w:w="905" w:type="dxa"/>
            <w:shd w:val="clear" w:color="auto" w:fill="auto"/>
            <w:tcMar>
              <w:top w:w="85" w:type="dxa"/>
            </w:tcMar>
            <w:vAlign w:val="center"/>
          </w:tcPr>
          <w:p w14:paraId="01346043" w14:textId="77777777" w:rsidR="00FE6B4B" w:rsidRPr="0091468E" w:rsidRDefault="00FE6B4B" w:rsidP="00D16669">
            <w:pPr>
              <w:contextualSpacing/>
              <w:jc w:val="center"/>
              <w:rPr>
                <w:rFonts w:ascii="Arial" w:hAnsi="Arial" w:cs="Arial"/>
                <w:b/>
                <w:sz w:val="20"/>
                <w:szCs w:val="20"/>
              </w:rPr>
            </w:pPr>
            <w:r w:rsidRPr="0091468E">
              <w:rPr>
                <w:rFonts w:ascii="Arial" w:hAnsi="Arial" w:cs="Arial"/>
                <w:b/>
                <w:sz w:val="20"/>
                <w:szCs w:val="20"/>
              </w:rPr>
              <w:t>Oszlop</w:t>
            </w:r>
          </w:p>
        </w:tc>
        <w:tc>
          <w:tcPr>
            <w:tcW w:w="3456" w:type="dxa"/>
            <w:shd w:val="clear" w:color="auto" w:fill="auto"/>
            <w:tcMar>
              <w:top w:w="85" w:type="dxa"/>
            </w:tcMar>
            <w:vAlign w:val="center"/>
          </w:tcPr>
          <w:p w14:paraId="515D9832" w14:textId="77777777" w:rsidR="00FE6B4B" w:rsidRPr="0091468E" w:rsidRDefault="00FE6B4B" w:rsidP="00D16669">
            <w:pPr>
              <w:contextualSpacing/>
              <w:jc w:val="center"/>
              <w:rPr>
                <w:rFonts w:ascii="Arial" w:hAnsi="Arial" w:cs="Arial"/>
                <w:b/>
                <w:sz w:val="20"/>
                <w:szCs w:val="20"/>
              </w:rPr>
            </w:pPr>
            <w:r w:rsidRPr="0091468E">
              <w:rPr>
                <w:rFonts w:ascii="Arial" w:hAnsi="Arial" w:cs="Arial"/>
                <w:b/>
                <w:sz w:val="20"/>
                <w:szCs w:val="20"/>
              </w:rPr>
              <w:t>Megnevezés</w:t>
            </w:r>
          </w:p>
        </w:tc>
        <w:tc>
          <w:tcPr>
            <w:tcW w:w="5103" w:type="dxa"/>
            <w:shd w:val="clear" w:color="auto" w:fill="auto"/>
            <w:tcMar>
              <w:top w:w="85" w:type="dxa"/>
            </w:tcMar>
            <w:vAlign w:val="center"/>
          </w:tcPr>
          <w:p w14:paraId="0EA4964D" w14:textId="77777777" w:rsidR="00FE6B4B" w:rsidRPr="00191B6F" w:rsidRDefault="00FE6B4B" w:rsidP="00D16669">
            <w:pPr>
              <w:contextualSpacing/>
              <w:jc w:val="center"/>
              <w:rPr>
                <w:rFonts w:ascii="Arial" w:hAnsi="Arial" w:cs="Arial"/>
                <w:sz w:val="20"/>
                <w:szCs w:val="20"/>
              </w:rPr>
            </w:pPr>
            <w:r w:rsidRPr="00191B6F">
              <w:rPr>
                <w:rFonts w:ascii="Arial" w:hAnsi="Arial" w:cs="Arial"/>
                <w:b/>
                <w:sz w:val="20"/>
                <w:szCs w:val="20"/>
              </w:rPr>
              <w:t>Hivatkozások jogszabályokra és megjegyzések</w:t>
            </w:r>
          </w:p>
        </w:tc>
      </w:tr>
      <w:tr w:rsidR="00FE6B4B" w:rsidRPr="00191B6F" w14:paraId="1ED58D67" w14:textId="77777777" w:rsidTr="00960BA9">
        <w:tc>
          <w:tcPr>
            <w:tcW w:w="905" w:type="dxa"/>
            <w:shd w:val="clear" w:color="auto" w:fill="auto"/>
            <w:tcMar>
              <w:top w:w="85" w:type="dxa"/>
            </w:tcMar>
            <w:vAlign w:val="center"/>
          </w:tcPr>
          <w:p w14:paraId="79EBE5AF"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010</w:t>
            </w:r>
          </w:p>
        </w:tc>
        <w:tc>
          <w:tcPr>
            <w:tcW w:w="3456" w:type="dxa"/>
            <w:shd w:val="clear" w:color="auto" w:fill="auto"/>
            <w:tcMar>
              <w:top w:w="85" w:type="dxa"/>
            </w:tcMar>
            <w:vAlign w:val="center"/>
          </w:tcPr>
          <w:p w14:paraId="69D76DEC"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Aktuális – tény</w:t>
            </w:r>
          </w:p>
        </w:tc>
        <w:tc>
          <w:tcPr>
            <w:tcW w:w="5103" w:type="dxa"/>
            <w:shd w:val="clear" w:color="auto" w:fill="auto"/>
            <w:tcMar>
              <w:top w:w="85" w:type="dxa"/>
            </w:tcMar>
            <w:vAlign w:val="center"/>
          </w:tcPr>
          <w:p w14:paraId="08A0E09D" w14:textId="77777777" w:rsidR="00FE6B4B" w:rsidRPr="00191B6F" w:rsidRDefault="00FE6B4B" w:rsidP="00883E29">
            <w:pPr>
              <w:contextualSpacing/>
              <w:jc w:val="both"/>
              <w:rPr>
                <w:rFonts w:ascii="Arial" w:hAnsi="Arial" w:cs="Arial"/>
                <w:sz w:val="20"/>
                <w:szCs w:val="20"/>
              </w:rPr>
            </w:pPr>
            <w:r w:rsidRPr="00191B6F">
              <w:rPr>
                <w:rFonts w:ascii="Arial" w:hAnsi="Arial" w:cs="Arial"/>
                <w:sz w:val="20"/>
                <w:szCs w:val="20"/>
              </w:rPr>
              <w:t xml:space="preserve">Ebben az oszlopban </w:t>
            </w:r>
            <w:r>
              <w:rPr>
                <w:rFonts w:ascii="Arial" w:hAnsi="Arial" w:cs="Arial"/>
                <w:sz w:val="20"/>
                <w:szCs w:val="20"/>
              </w:rPr>
              <w:t xml:space="preserve">az előző év végi tényadatot </w:t>
            </w:r>
            <w:r w:rsidRPr="00191B6F">
              <w:rPr>
                <w:rFonts w:ascii="Arial" w:hAnsi="Arial" w:cs="Arial"/>
                <w:sz w:val="20"/>
                <w:szCs w:val="20"/>
              </w:rPr>
              <w:t xml:space="preserve">kell </w:t>
            </w:r>
            <w:r>
              <w:rPr>
                <w:rFonts w:ascii="Arial" w:hAnsi="Arial" w:cs="Arial"/>
                <w:sz w:val="20"/>
                <w:szCs w:val="20"/>
              </w:rPr>
              <w:t>jelenteni</w:t>
            </w:r>
            <w:r w:rsidRPr="00191B6F">
              <w:rPr>
                <w:rFonts w:ascii="Arial" w:hAnsi="Arial" w:cs="Arial"/>
                <w:sz w:val="20"/>
                <w:szCs w:val="20"/>
              </w:rPr>
              <w:t>.</w:t>
            </w:r>
          </w:p>
        </w:tc>
      </w:tr>
      <w:tr w:rsidR="00FE6B4B" w:rsidRPr="00191B6F" w14:paraId="126FB3CE" w14:textId="77777777" w:rsidTr="00960BA9">
        <w:tc>
          <w:tcPr>
            <w:tcW w:w="905" w:type="dxa"/>
            <w:shd w:val="clear" w:color="auto" w:fill="auto"/>
            <w:tcMar>
              <w:top w:w="85" w:type="dxa"/>
            </w:tcMar>
            <w:vAlign w:val="center"/>
          </w:tcPr>
          <w:p w14:paraId="019E5BE6" w14:textId="1F0F6F72" w:rsidR="00FE6B4B" w:rsidRPr="00191B6F" w:rsidRDefault="00FE6B4B" w:rsidP="00D16669">
            <w:pPr>
              <w:contextualSpacing/>
              <w:rPr>
                <w:rFonts w:ascii="Arial" w:hAnsi="Arial" w:cs="Arial"/>
                <w:sz w:val="20"/>
                <w:szCs w:val="20"/>
              </w:rPr>
            </w:pPr>
            <w:r w:rsidRPr="00191B6F">
              <w:rPr>
                <w:rFonts w:ascii="Arial" w:hAnsi="Arial" w:cs="Arial"/>
                <w:sz w:val="20"/>
                <w:szCs w:val="20"/>
              </w:rPr>
              <w:t>0</w:t>
            </w:r>
            <w:r w:rsidR="00055F76">
              <w:rPr>
                <w:rFonts w:ascii="Arial" w:hAnsi="Arial" w:cs="Arial"/>
                <w:sz w:val="20"/>
                <w:szCs w:val="20"/>
              </w:rPr>
              <w:t>3</w:t>
            </w:r>
            <w:r w:rsidRPr="00191B6F">
              <w:rPr>
                <w:rFonts w:ascii="Arial" w:hAnsi="Arial" w:cs="Arial"/>
                <w:sz w:val="20"/>
                <w:szCs w:val="20"/>
              </w:rPr>
              <w:t>0 -050</w:t>
            </w:r>
          </w:p>
        </w:tc>
        <w:tc>
          <w:tcPr>
            <w:tcW w:w="3456" w:type="dxa"/>
            <w:shd w:val="clear" w:color="auto" w:fill="auto"/>
            <w:tcMar>
              <w:top w:w="85" w:type="dxa"/>
            </w:tcMar>
            <w:vAlign w:val="center"/>
          </w:tcPr>
          <w:p w14:paraId="333831DD" w14:textId="6A1CFA25" w:rsidR="00FE6B4B" w:rsidRPr="00191B6F" w:rsidRDefault="00FE6B4B" w:rsidP="00D16669">
            <w:pPr>
              <w:contextualSpacing/>
              <w:rPr>
                <w:rFonts w:ascii="Arial" w:hAnsi="Arial" w:cs="Arial"/>
                <w:sz w:val="20"/>
                <w:szCs w:val="20"/>
              </w:rPr>
            </w:pPr>
            <w:r w:rsidRPr="00191B6F">
              <w:rPr>
                <w:rFonts w:ascii="Arial" w:hAnsi="Arial" w:cs="Arial"/>
                <w:sz w:val="20"/>
                <w:szCs w:val="20"/>
              </w:rPr>
              <w:t xml:space="preserve">1 év – terv, 2 év – terv, 3 év </w:t>
            </w:r>
            <w:r w:rsidR="007C0883" w:rsidRPr="00191B6F">
              <w:rPr>
                <w:rFonts w:ascii="Arial" w:hAnsi="Arial" w:cs="Arial"/>
                <w:sz w:val="20"/>
                <w:szCs w:val="20"/>
              </w:rPr>
              <w:t>–</w:t>
            </w:r>
            <w:r w:rsidRPr="00191B6F">
              <w:rPr>
                <w:rFonts w:ascii="Arial" w:hAnsi="Arial" w:cs="Arial"/>
                <w:sz w:val="20"/>
                <w:szCs w:val="20"/>
              </w:rPr>
              <w:t xml:space="preserve"> terv</w:t>
            </w:r>
          </w:p>
        </w:tc>
        <w:tc>
          <w:tcPr>
            <w:tcW w:w="5103" w:type="dxa"/>
            <w:shd w:val="clear" w:color="auto" w:fill="auto"/>
            <w:tcMar>
              <w:top w:w="85" w:type="dxa"/>
            </w:tcMar>
            <w:vAlign w:val="center"/>
          </w:tcPr>
          <w:p w14:paraId="0DDDC4AE" w14:textId="4FBF30A6" w:rsidR="00FE6B4B" w:rsidRDefault="003C5714" w:rsidP="0052557D">
            <w:pPr>
              <w:jc w:val="both"/>
              <w:rPr>
                <w:rFonts w:ascii="Arial" w:hAnsi="Arial" w:cs="Arial"/>
                <w:sz w:val="20"/>
                <w:szCs w:val="20"/>
              </w:rPr>
            </w:pPr>
            <w:r>
              <w:rPr>
                <w:rFonts w:ascii="Arial" w:hAnsi="Arial" w:cs="Arial"/>
                <w:sz w:val="20"/>
                <w:szCs w:val="20"/>
              </w:rPr>
              <w:t>Ezekben az oszlopokban a tényadatot követő 1., 2. és 3. évre vonatkozó terv</w:t>
            </w:r>
            <w:r w:rsidR="00DF77EF">
              <w:rPr>
                <w:rFonts w:ascii="Arial" w:hAnsi="Arial" w:cs="Arial"/>
                <w:sz w:val="20"/>
                <w:szCs w:val="20"/>
              </w:rPr>
              <w:t xml:space="preserve"> </w:t>
            </w:r>
            <w:r>
              <w:rPr>
                <w:rFonts w:ascii="Arial" w:hAnsi="Arial" w:cs="Arial"/>
                <w:sz w:val="20"/>
                <w:szCs w:val="20"/>
              </w:rPr>
              <w:t xml:space="preserve">adatokat kell jelenteni. </w:t>
            </w:r>
          </w:p>
          <w:p w14:paraId="0FCEFA94" w14:textId="77777777" w:rsidR="00FE6B4B" w:rsidRPr="00191B6F" w:rsidRDefault="00FE6B4B">
            <w:pPr>
              <w:contextualSpacing/>
              <w:jc w:val="both"/>
              <w:rPr>
                <w:rFonts w:ascii="Arial" w:hAnsi="Arial" w:cs="Arial"/>
                <w:sz w:val="20"/>
                <w:szCs w:val="20"/>
              </w:rPr>
            </w:pPr>
            <w:r w:rsidRPr="00191B6F">
              <w:rPr>
                <w:rFonts w:ascii="Arial" w:hAnsi="Arial" w:cs="Arial"/>
                <w:sz w:val="20"/>
                <w:szCs w:val="20"/>
              </w:rPr>
              <w:t>Ezeket az oszlopokat a hitelintézeteknek a normál makrogazdasági helyzet és normál üzletmenet feltételezése mellett tett előrejelzések szerint kell kitölteniük. Az MNB nem ad meg makrogazdasági szcenáriót, a hitelintézetnek a saját becslései közül a legvalószínűbbet kell alkalmaznia.</w:t>
            </w:r>
          </w:p>
        </w:tc>
      </w:tr>
    </w:tbl>
    <w:p w14:paraId="6251B239" w14:textId="77777777" w:rsidR="00FE6B4B" w:rsidRDefault="00FE6B4B" w:rsidP="00FE6B4B">
      <w:pPr>
        <w:rPr>
          <w:rFonts w:ascii="Arial" w:hAnsi="Arial" w:cs="Arial"/>
          <w:b/>
          <w:sz w:val="20"/>
          <w:szCs w:val="20"/>
        </w:rPr>
      </w:pPr>
    </w:p>
    <w:p w14:paraId="732F28BB" w14:textId="77777777" w:rsidR="00FE6B4B" w:rsidRDefault="00FE6B4B" w:rsidP="00FE6B4B">
      <w:pPr>
        <w:rPr>
          <w:rFonts w:ascii="Arial" w:hAnsi="Arial" w:cs="Arial"/>
          <w:b/>
          <w:sz w:val="20"/>
          <w:szCs w:val="20"/>
        </w:rPr>
      </w:pPr>
    </w:p>
    <w:p w14:paraId="733A855E" w14:textId="0FCF77B7" w:rsidR="00FE6B4B" w:rsidRDefault="0062780E" w:rsidP="00FE6B4B">
      <w:pPr>
        <w:rPr>
          <w:rFonts w:ascii="Arial" w:hAnsi="Arial" w:cs="Arial"/>
          <w:b/>
          <w:sz w:val="20"/>
          <w:szCs w:val="20"/>
        </w:rPr>
      </w:pPr>
      <w:r>
        <w:rPr>
          <w:rFonts w:ascii="Arial" w:hAnsi="Arial" w:cs="Arial"/>
          <w:b/>
          <w:sz w:val="20"/>
          <w:szCs w:val="20"/>
        </w:rPr>
        <w:t xml:space="preserve">4. </w:t>
      </w:r>
      <w:r w:rsidR="00FE6B4B">
        <w:rPr>
          <w:rFonts w:ascii="Arial" w:hAnsi="Arial" w:cs="Arial"/>
          <w:b/>
          <w:sz w:val="20"/>
          <w:szCs w:val="20"/>
        </w:rPr>
        <w:t>P</w:t>
      </w:r>
      <w:r w:rsidR="00857983">
        <w:rPr>
          <w:rFonts w:ascii="Arial" w:hAnsi="Arial" w:cs="Arial"/>
          <w:b/>
          <w:sz w:val="20"/>
          <w:szCs w:val="20"/>
        </w:rPr>
        <w:t>_</w:t>
      </w:r>
      <w:r w:rsidR="00FE6B4B" w:rsidRPr="001B098C">
        <w:rPr>
          <w:rFonts w:ascii="Arial" w:hAnsi="Arial" w:cs="Arial"/>
          <w:b/>
          <w:sz w:val="20"/>
          <w:szCs w:val="20"/>
        </w:rPr>
        <w:t>02.01</w:t>
      </w:r>
      <w:r w:rsidR="00FE6B4B">
        <w:rPr>
          <w:rFonts w:ascii="Arial" w:hAnsi="Arial" w:cs="Arial"/>
          <w:b/>
          <w:sz w:val="20"/>
          <w:szCs w:val="20"/>
        </w:rPr>
        <w:t xml:space="preserve"> Finanszírozási terv </w:t>
      </w:r>
      <w:r w:rsidR="008E3A5A">
        <w:rPr>
          <w:rFonts w:ascii="Arial" w:hAnsi="Arial" w:cs="Arial"/>
          <w:b/>
          <w:caps/>
          <w:sz w:val="20"/>
          <w:szCs w:val="20"/>
          <w:lang w:val="en-US" w:eastAsia="en-GB"/>
        </w:rPr>
        <w:t>–</w:t>
      </w:r>
      <w:r w:rsidR="00FE6B4B">
        <w:rPr>
          <w:rFonts w:ascii="Arial" w:hAnsi="Arial" w:cs="Arial"/>
          <w:b/>
          <w:sz w:val="20"/>
          <w:szCs w:val="20"/>
        </w:rPr>
        <w:t xml:space="preserve"> </w:t>
      </w:r>
      <w:r w:rsidR="00FE6B4B" w:rsidRPr="001B098C">
        <w:rPr>
          <w:rFonts w:ascii="Arial" w:hAnsi="Arial" w:cs="Arial"/>
          <w:b/>
          <w:sz w:val="20"/>
          <w:szCs w:val="20"/>
        </w:rPr>
        <w:t xml:space="preserve">Biztosított és nem biztosított betétek, </w:t>
      </w:r>
      <w:r w:rsidR="00FE6B4B">
        <w:rPr>
          <w:rFonts w:ascii="Arial" w:hAnsi="Arial" w:cs="Arial"/>
          <w:b/>
          <w:sz w:val="20"/>
          <w:szCs w:val="20"/>
        </w:rPr>
        <w:t>valamint betétekhez hasonló</w:t>
      </w:r>
      <w:r w:rsidR="00FE6B4B" w:rsidRPr="001B098C">
        <w:rPr>
          <w:rFonts w:ascii="Arial" w:hAnsi="Arial" w:cs="Arial"/>
          <w:b/>
          <w:sz w:val="20"/>
          <w:szCs w:val="20"/>
        </w:rPr>
        <w:t xml:space="preserve"> </w:t>
      </w:r>
      <w:r w:rsidR="00FE6B4B">
        <w:rPr>
          <w:rFonts w:ascii="Arial" w:hAnsi="Arial" w:cs="Arial"/>
          <w:b/>
          <w:sz w:val="20"/>
          <w:szCs w:val="20"/>
        </w:rPr>
        <w:t>nem biztosított pénzügyi instrumentumok</w:t>
      </w:r>
    </w:p>
    <w:p w14:paraId="25306FF0" w14:textId="77777777" w:rsidR="00741275" w:rsidRDefault="00741275" w:rsidP="00FE6B4B">
      <w:pPr>
        <w:rPr>
          <w:rFonts w:ascii="Arial" w:hAnsi="Arial" w:cs="Arial"/>
          <w:b/>
          <w:sz w:val="20"/>
          <w:szCs w:val="20"/>
        </w:rPr>
      </w:pPr>
    </w:p>
    <w:p w14:paraId="746EFB51" w14:textId="5C4B26F1" w:rsidR="00741275" w:rsidRPr="00B2610A" w:rsidRDefault="00741275" w:rsidP="00B2610A">
      <w:pPr>
        <w:autoSpaceDE w:val="0"/>
        <w:autoSpaceDN w:val="0"/>
        <w:adjustRightInd w:val="0"/>
        <w:spacing w:after="240"/>
        <w:jc w:val="both"/>
        <w:rPr>
          <w:rFonts w:ascii="Arial" w:hAnsi="Arial" w:cs="Arial"/>
          <w:color w:val="000000"/>
          <w:sz w:val="20"/>
          <w:szCs w:val="20"/>
        </w:rPr>
      </w:pPr>
      <w:r w:rsidRPr="00B2610A">
        <w:rPr>
          <w:rFonts w:ascii="Arial" w:hAnsi="Arial" w:cs="Arial"/>
          <w:color w:val="000000"/>
          <w:sz w:val="20"/>
          <w:szCs w:val="20"/>
        </w:rPr>
        <w:t>A nem biztosított betétekhez hasonló pénzügyi instrumentum olyan pénzügyi instrumentum, amely hasonlíthat a betétre, de a betét kockázatától eltérő kockázattal jár, mivel ezt a pénzügyi instrumentumot nem fedezi semmilyen betétbiztosítási rendszer.</w:t>
      </w:r>
    </w:p>
    <w:p w14:paraId="271B55AB" w14:textId="77777777" w:rsidR="00FE6B4B" w:rsidRDefault="00FE6B4B" w:rsidP="00FE6B4B">
      <w:pPr>
        <w:rPr>
          <w:rFonts w:ascii="Arial" w:hAnsi="Arial" w:cs="Arial"/>
          <w:b/>
          <w:sz w:val="20"/>
          <w:szCs w:val="20"/>
        </w:rPr>
      </w:pPr>
    </w:p>
    <w:p w14:paraId="5EB257F6" w14:textId="77777777" w:rsidR="00FE6B4B" w:rsidRDefault="00FE6B4B" w:rsidP="00FE6B4B">
      <w:pPr>
        <w:rPr>
          <w:rFonts w:ascii="Arial" w:hAnsi="Arial" w:cs="Arial"/>
          <w:b/>
          <w:sz w:val="20"/>
          <w:szCs w:val="20"/>
        </w:rPr>
      </w:pPr>
      <w:r>
        <w:rPr>
          <w:rFonts w:ascii="Arial" w:hAnsi="Arial" w:cs="Arial"/>
          <w:b/>
          <w:sz w:val="20"/>
          <w:szCs w:val="20"/>
        </w:rPr>
        <w:t>A tábla sorai</w:t>
      </w:r>
    </w:p>
    <w:p w14:paraId="7AE56635" w14:textId="77777777" w:rsidR="00FE6B4B" w:rsidRPr="001B098C" w:rsidRDefault="00FE6B4B" w:rsidP="00FE6B4B">
      <w:pPr>
        <w:rPr>
          <w:rFonts w:ascii="Arial" w:hAnsi="Arial" w:cs="Arial"/>
          <w:b/>
          <w:sz w:val="20"/>
          <w:szCs w:val="20"/>
        </w:rPr>
      </w:pPr>
    </w:p>
    <w:tbl>
      <w:tblPr>
        <w:tblW w:w="9464" w:type="dxa"/>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Look w:val="04A0" w:firstRow="1" w:lastRow="0" w:firstColumn="1" w:lastColumn="0" w:noHBand="0" w:noVBand="1"/>
      </w:tblPr>
      <w:tblGrid>
        <w:gridCol w:w="905"/>
        <w:gridCol w:w="1330"/>
        <w:gridCol w:w="2976"/>
        <w:gridCol w:w="4253"/>
      </w:tblGrid>
      <w:tr w:rsidR="00FE6B4B" w:rsidRPr="00E23702" w14:paraId="6702144B" w14:textId="77777777" w:rsidTr="00960BA9">
        <w:tc>
          <w:tcPr>
            <w:tcW w:w="905" w:type="dxa"/>
            <w:shd w:val="clear" w:color="auto" w:fill="auto"/>
            <w:vAlign w:val="center"/>
          </w:tcPr>
          <w:p w14:paraId="4D8F0A65" w14:textId="77777777" w:rsidR="00FE6B4B" w:rsidRPr="00E23702" w:rsidRDefault="00FE6B4B" w:rsidP="00D16669">
            <w:pPr>
              <w:contextualSpacing/>
              <w:jc w:val="center"/>
              <w:rPr>
                <w:rFonts w:ascii="Arial" w:hAnsi="Arial" w:cs="Arial"/>
                <w:b/>
                <w:sz w:val="20"/>
                <w:szCs w:val="20"/>
              </w:rPr>
            </w:pPr>
            <w:r w:rsidRPr="00E23702">
              <w:rPr>
                <w:rFonts w:ascii="Arial" w:hAnsi="Arial" w:cs="Arial"/>
                <w:b/>
                <w:sz w:val="20"/>
                <w:szCs w:val="20"/>
              </w:rPr>
              <w:t>Sorkód</w:t>
            </w:r>
          </w:p>
        </w:tc>
        <w:tc>
          <w:tcPr>
            <w:tcW w:w="1330" w:type="dxa"/>
          </w:tcPr>
          <w:p w14:paraId="038EAA60" w14:textId="77777777" w:rsidR="00FE6B4B" w:rsidRPr="00E23702" w:rsidRDefault="00FE6B4B" w:rsidP="00D16669">
            <w:pPr>
              <w:contextualSpacing/>
              <w:jc w:val="center"/>
              <w:rPr>
                <w:rFonts w:ascii="Arial" w:hAnsi="Arial" w:cs="Arial"/>
                <w:b/>
                <w:sz w:val="20"/>
                <w:szCs w:val="20"/>
              </w:rPr>
            </w:pPr>
            <w:r>
              <w:rPr>
                <w:rFonts w:ascii="Arial" w:hAnsi="Arial" w:cs="Arial"/>
                <w:b/>
                <w:sz w:val="20"/>
                <w:szCs w:val="20"/>
              </w:rPr>
              <w:t>Hierarchia</w:t>
            </w:r>
          </w:p>
        </w:tc>
        <w:tc>
          <w:tcPr>
            <w:tcW w:w="2976" w:type="dxa"/>
            <w:shd w:val="clear" w:color="auto" w:fill="auto"/>
            <w:vAlign w:val="center"/>
          </w:tcPr>
          <w:p w14:paraId="132AC4A6" w14:textId="77777777" w:rsidR="00FE6B4B" w:rsidRPr="00E23702" w:rsidRDefault="00FE6B4B" w:rsidP="00D16669">
            <w:pPr>
              <w:contextualSpacing/>
              <w:jc w:val="center"/>
              <w:rPr>
                <w:rFonts w:ascii="Arial" w:hAnsi="Arial" w:cs="Arial"/>
                <w:b/>
                <w:sz w:val="20"/>
                <w:szCs w:val="20"/>
              </w:rPr>
            </w:pPr>
            <w:r w:rsidRPr="00E23702">
              <w:rPr>
                <w:rFonts w:ascii="Arial" w:hAnsi="Arial" w:cs="Arial"/>
                <w:b/>
                <w:sz w:val="20"/>
                <w:szCs w:val="20"/>
              </w:rPr>
              <w:t>Megnevezés</w:t>
            </w:r>
          </w:p>
        </w:tc>
        <w:tc>
          <w:tcPr>
            <w:tcW w:w="4253" w:type="dxa"/>
            <w:shd w:val="clear" w:color="auto" w:fill="auto"/>
            <w:vAlign w:val="center"/>
          </w:tcPr>
          <w:p w14:paraId="6AC6C861" w14:textId="77777777" w:rsidR="00FE6B4B" w:rsidRPr="00E23702" w:rsidRDefault="00FE6B4B" w:rsidP="00D16669">
            <w:pPr>
              <w:contextualSpacing/>
              <w:jc w:val="center"/>
              <w:rPr>
                <w:rFonts w:ascii="Arial" w:hAnsi="Arial" w:cs="Arial"/>
                <w:b/>
                <w:sz w:val="20"/>
                <w:szCs w:val="20"/>
              </w:rPr>
            </w:pPr>
            <w:r w:rsidRPr="00E23702">
              <w:rPr>
                <w:rFonts w:ascii="Arial" w:hAnsi="Arial" w:cs="Arial"/>
                <w:b/>
                <w:sz w:val="20"/>
                <w:szCs w:val="20"/>
              </w:rPr>
              <w:t>Megjegyzés</w:t>
            </w:r>
          </w:p>
        </w:tc>
      </w:tr>
      <w:tr w:rsidR="00FE6B4B" w:rsidRPr="00191B6F" w14:paraId="2C5EBAC1" w14:textId="77777777" w:rsidTr="00960BA9">
        <w:tc>
          <w:tcPr>
            <w:tcW w:w="905" w:type="dxa"/>
            <w:shd w:val="clear" w:color="auto" w:fill="auto"/>
            <w:tcMar>
              <w:top w:w="85" w:type="dxa"/>
            </w:tcMar>
            <w:vAlign w:val="center"/>
          </w:tcPr>
          <w:p w14:paraId="55D1602E"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010</w:t>
            </w:r>
          </w:p>
        </w:tc>
        <w:tc>
          <w:tcPr>
            <w:tcW w:w="1330" w:type="dxa"/>
            <w:vAlign w:val="center"/>
          </w:tcPr>
          <w:p w14:paraId="5C63A3DE" w14:textId="77777777" w:rsidR="00FE6B4B" w:rsidRPr="00191B6F" w:rsidRDefault="00FE6B4B" w:rsidP="00D16669">
            <w:pPr>
              <w:contextualSpacing/>
              <w:rPr>
                <w:rFonts w:ascii="Arial" w:hAnsi="Arial" w:cs="Arial"/>
                <w:sz w:val="20"/>
                <w:szCs w:val="20"/>
              </w:rPr>
            </w:pPr>
            <w:r>
              <w:rPr>
                <w:rFonts w:ascii="Arial" w:hAnsi="Arial" w:cs="Arial"/>
                <w:sz w:val="20"/>
                <w:szCs w:val="20"/>
              </w:rPr>
              <w:t>1.1.</w:t>
            </w:r>
          </w:p>
        </w:tc>
        <w:tc>
          <w:tcPr>
            <w:tcW w:w="2976" w:type="dxa"/>
            <w:shd w:val="clear" w:color="auto" w:fill="auto"/>
            <w:tcMar>
              <w:top w:w="85" w:type="dxa"/>
            </w:tcMar>
            <w:vAlign w:val="center"/>
          </w:tcPr>
          <w:p w14:paraId="75926FB6" w14:textId="1DF28F62" w:rsidR="00FE6B4B" w:rsidRPr="005343D5" w:rsidRDefault="00FE6B4B" w:rsidP="004A1AEE">
            <w:pPr>
              <w:contextualSpacing/>
              <w:jc w:val="both"/>
              <w:rPr>
                <w:rFonts w:ascii="Arial" w:hAnsi="Arial" w:cs="Arial"/>
                <w:sz w:val="20"/>
                <w:szCs w:val="20"/>
              </w:rPr>
            </w:pPr>
            <w:r w:rsidRPr="005343D5">
              <w:rPr>
                <w:rFonts w:ascii="Arial" w:hAnsi="Arial" w:cs="Arial"/>
                <w:sz w:val="20"/>
                <w:szCs w:val="20"/>
              </w:rPr>
              <w:t xml:space="preserve">A </w:t>
            </w:r>
            <w:r w:rsidR="00741275" w:rsidRPr="005343D5">
              <w:rPr>
                <w:rFonts w:ascii="Arial" w:hAnsi="Arial" w:cs="Arial"/>
                <w:sz w:val="20"/>
                <w:szCs w:val="20"/>
              </w:rPr>
              <w:t xml:space="preserve">2014/49/EU </w:t>
            </w:r>
            <w:r w:rsidRPr="005343D5">
              <w:rPr>
                <w:rFonts w:ascii="Arial" w:hAnsi="Arial" w:cs="Arial"/>
                <w:sz w:val="20"/>
                <w:szCs w:val="20"/>
              </w:rPr>
              <w:t xml:space="preserve">európai parlamenti és tanácsi irányelv szerinti </w:t>
            </w:r>
            <w:r w:rsidR="005C23DB" w:rsidRPr="005343D5">
              <w:rPr>
                <w:rFonts w:ascii="Arial" w:hAnsi="Arial" w:cs="Arial"/>
                <w:sz w:val="20"/>
                <w:szCs w:val="20"/>
              </w:rPr>
              <w:t xml:space="preserve">betétbiztosítási rendszer </w:t>
            </w:r>
            <w:r w:rsidRPr="005343D5">
              <w:rPr>
                <w:rFonts w:ascii="Arial" w:hAnsi="Arial" w:cs="Arial"/>
                <w:sz w:val="20"/>
                <w:szCs w:val="20"/>
              </w:rPr>
              <w:t>vagy harmadik ország</w:t>
            </w:r>
            <w:r w:rsidR="00D700B6">
              <w:rPr>
                <w:rFonts w:ascii="Arial" w:hAnsi="Arial" w:cs="Arial"/>
                <w:sz w:val="20"/>
                <w:szCs w:val="20"/>
              </w:rPr>
              <w:t xml:space="preserve"> </w:t>
            </w:r>
            <w:r w:rsidR="00741275" w:rsidRPr="005343D5">
              <w:rPr>
                <w:rFonts w:ascii="Arial" w:hAnsi="Arial" w:cs="Arial"/>
                <w:sz w:val="20"/>
                <w:szCs w:val="20"/>
              </w:rPr>
              <w:t xml:space="preserve">azzal </w:t>
            </w:r>
            <w:r w:rsidRPr="005343D5">
              <w:rPr>
                <w:rFonts w:ascii="Arial" w:hAnsi="Arial" w:cs="Arial"/>
                <w:sz w:val="20"/>
                <w:szCs w:val="20"/>
              </w:rPr>
              <w:t>egyenértékű betétbiztosítási rendszer</w:t>
            </w:r>
            <w:r w:rsidR="005C23DB" w:rsidRPr="005343D5">
              <w:rPr>
                <w:rFonts w:ascii="Arial" w:hAnsi="Arial" w:cs="Arial"/>
                <w:sz w:val="20"/>
                <w:szCs w:val="20"/>
              </w:rPr>
              <w:t>e</w:t>
            </w:r>
            <w:r w:rsidRPr="005343D5">
              <w:rPr>
                <w:rFonts w:ascii="Arial" w:hAnsi="Arial" w:cs="Arial"/>
                <w:sz w:val="20"/>
                <w:szCs w:val="20"/>
              </w:rPr>
              <w:t xml:space="preserve"> által </w:t>
            </w:r>
            <w:r w:rsidR="005C23DB" w:rsidRPr="005343D5">
              <w:rPr>
                <w:rFonts w:ascii="Arial" w:hAnsi="Arial" w:cs="Arial"/>
                <w:sz w:val="20"/>
                <w:szCs w:val="20"/>
              </w:rPr>
              <w:t xml:space="preserve">biztosított </w:t>
            </w:r>
            <w:r w:rsidRPr="005343D5">
              <w:rPr>
                <w:rFonts w:ascii="Arial" w:hAnsi="Arial" w:cs="Arial"/>
                <w:sz w:val="20"/>
                <w:szCs w:val="20"/>
              </w:rPr>
              <w:t>betét</w:t>
            </w:r>
            <w:r w:rsidR="005C23DB" w:rsidRPr="005343D5">
              <w:rPr>
                <w:rFonts w:ascii="Arial" w:hAnsi="Arial" w:cs="Arial"/>
                <w:sz w:val="20"/>
                <w:szCs w:val="20"/>
              </w:rPr>
              <w:t>ek</w:t>
            </w:r>
          </w:p>
        </w:tc>
        <w:tc>
          <w:tcPr>
            <w:tcW w:w="4253" w:type="dxa"/>
            <w:shd w:val="clear" w:color="auto" w:fill="auto"/>
            <w:tcMar>
              <w:top w:w="85" w:type="dxa"/>
            </w:tcMar>
            <w:vAlign w:val="center"/>
          </w:tcPr>
          <w:p w14:paraId="0DD480D2" w14:textId="7BE6B7C1" w:rsidR="00FE6B4B" w:rsidRPr="005343D5" w:rsidRDefault="00A5186E" w:rsidP="00BF0E35">
            <w:pPr>
              <w:pStyle w:val="Default"/>
              <w:jc w:val="both"/>
              <w:rPr>
                <w:rFonts w:ascii="Arial" w:hAnsi="Arial" w:cs="Arial"/>
                <w:sz w:val="20"/>
                <w:szCs w:val="20"/>
                <w:highlight w:val="red"/>
              </w:rPr>
            </w:pPr>
            <w:r w:rsidRPr="005343D5">
              <w:rPr>
                <w:rFonts w:ascii="Arial" w:hAnsi="Arial" w:cs="Arial"/>
                <w:sz w:val="20"/>
                <w:szCs w:val="20"/>
              </w:rPr>
              <w:t xml:space="preserve">A 2014/49/EU </w:t>
            </w:r>
            <w:r>
              <w:rPr>
                <w:rFonts w:ascii="Arial" w:hAnsi="Arial" w:cs="Arial"/>
                <w:sz w:val="20"/>
                <w:szCs w:val="20"/>
              </w:rPr>
              <w:t xml:space="preserve">európai parlamenti és tanácsi </w:t>
            </w:r>
            <w:r w:rsidRPr="005343D5">
              <w:rPr>
                <w:rFonts w:ascii="Arial" w:hAnsi="Arial" w:cs="Arial"/>
                <w:sz w:val="20"/>
                <w:szCs w:val="20"/>
              </w:rPr>
              <w:t xml:space="preserve">irányelv 2. cikk </w:t>
            </w:r>
            <w:r>
              <w:rPr>
                <w:rFonts w:ascii="Arial" w:hAnsi="Arial" w:cs="Arial"/>
                <w:sz w:val="20"/>
                <w:szCs w:val="20"/>
              </w:rPr>
              <w:t>(</w:t>
            </w:r>
            <w:r w:rsidRPr="005343D5">
              <w:rPr>
                <w:rFonts w:ascii="Arial" w:hAnsi="Arial" w:cs="Arial"/>
                <w:sz w:val="20"/>
                <w:szCs w:val="20"/>
              </w:rPr>
              <w:t xml:space="preserve">1) bekezdés 5. pontja szerinti biztosított betétek, </w:t>
            </w:r>
            <w:r>
              <w:rPr>
                <w:rFonts w:ascii="Arial" w:hAnsi="Arial" w:cs="Arial"/>
                <w:sz w:val="20"/>
                <w:szCs w:val="20"/>
              </w:rPr>
              <w:t xml:space="preserve">valamint </w:t>
            </w:r>
            <w:r w:rsidRPr="005343D5">
              <w:rPr>
                <w:rFonts w:ascii="Arial" w:hAnsi="Arial" w:cs="Arial"/>
                <w:sz w:val="20"/>
                <w:szCs w:val="20"/>
              </w:rPr>
              <w:t xml:space="preserve">a betétbiztosítási rendszer által </w:t>
            </w:r>
            <w:r>
              <w:rPr>
                <w:rFonts w:ascii="Arial" w:hAnsi="Arial" w:cs="Arial"/>
                <w:sz w:val="20"/>
                <w:szCs w:val="20"/>
              </w:rPr>
              <w:t xml:space="preserve">a </w:t>
            </w:r>
            <w:r w:rsidRPr="005343D5">
              <w:rPr>
                <w:rFonts w:ascii="Arial" w:hAnsi="Arial" w:cs="Arial"/>
                <w:sz w:val="20"/>
                <w:szCs w:val="20"/>
              </w:rPr>
              <w:t>6. cikk (2) bekezdésének megfelelően</w:t>
            </w:r>
            <w:r>
              <w:rPr>
                <w:rFonts w:ascii="Arial" w:hAnsi="Arial" w:cs="Arial"/>
                <w:sz w:val="20"/>
                <w:szCs w:val="20"/>
              </w:rPr>
              <w:t xml:space="preserve"> </w:t>
            </w:r>
            <w:r w:rsidRPr="005343D5">
              <w:rPr>
                <w:rFonts w:ascii="Arial" w:hAnsi="Arial" w:cs="Arial"/>
                <w:sz w:val="20"/>
                <w:szCs w:val="20"/>
              </w:rPr>
              <w:t>biztosított ideiglenes magas betétegyenlegek</w:t>
            </w:r>
            <w:r>
              <w:rPr>
                <w:rFonts w:ascii="Arial" w:hAnsi="Arial" w:cs="Arial"/>
                <w:sz w:val="20"/>
                <w:szCs w:val="20"/>
              </w:rPr>
              <w:t>.</w:t>
            </w:r>
            <w:r w:rsidRPr="005343D5">
              <w:rPr>
                <w:rFonts w:ascii="Arial" w:hAnsi="Arial" w:cs="Arial"/>
                <w:sz w:val="20"/>
                <w:szCs w:val="20"/>
              </w:rPr>
              <w:t xml:space="preserve"> A betétektől eltérő instrumentumokat nem kell jelenteni, függetlenül attól, hogy a betétbiztosítási rendszerek biztosítják-e azokat</w:t>
            </w:r>
            <w:r>
              <w:rPr>
                <w:rFonts w:ascii="Arial" w:hAnsi="Arial" w:cs="Arial"/>
                <w:sz w:val="20"/>
                <w:szCs w:val="20"/>
              </w:rPr>
              <w:t xml:space="preserve"> vagy sem</w:t>
            </w:r>
            <w:r w:rsidRPr="005343D5">
              <w:rPr>
                <w:rFonts w:ascii="Arial" w:hAnsi="Arial" w:cs="Arial"/>
                <w:sz w:val="20"/>
                <w:szCs w:val="20"/>
              </w:rPr>
              <w:t>.</w:t>
            </w:r>
            <w:r w:rsidR="005C23DB" w:rsidRPr="005343D5">
              <w:rPr>
                <w:rFonts w:ascii="Arial" w:hAnsi="Arial" w:cs="Arial"/>
                <w:sz w:val="20"/>
                <w:szCs w:val="20"/>
              </w:rPr>
              <w:t xml:space="preserve"> </w:t>
            </w:r>
          </w:p>
        </w:tc>
      </w:tr>
      <w:tr w:rsidR="00FE6B4B" w:rsidRPr="00191B6F" w14:paraId="0A412EC0" w14:textId="77777777" w:rsidTr="00960BA9">
        <w:tc>
          <w:tcPr>
            <w:tcW w:w="905" w:type="dxa"/>
            <w:shd w:val="clear" w:color="auto" w:fill="auto"/>
            <w:tcMar>
              <w:top w:w="85" w:type="dxa"/>
            </w:tcMar>
            <w:vAlign w:val="center"/>
          </w:tcPr>
          <w:p w14:paraId="492F3602"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020</w:t>
            </w:r>
          </w:p>
        </w:tc>
        <w:tc>
          <w:tcPr>
            <w:tcW w:w="1330" w:type="dxa"/>
            <w:vAlign w:val="center"/>
          </w:tcPr>
          <w:p w14:paraId="3337D7E6" w14:textId="77777777" w:rsidR="00FE6B4B" w:rsidRPr="005C23DB" w:rsidRDefault="00FE6B4B" w:rsidP="00D16669">
            <w:pPr>
              <w:contextualSpacing/>
              <w:rPr>
                <w:rFonts w:ascii="Arial" w:hAnsi="Arial" w:cs="Arial"/>
                <w:sz w:val="20"/>
                <w:szCs w:val="20"/>
              </w:rPr>
            </w:pPr>
            <w:r w:rsidRPr="005C23DB">
              <w:rPr>
                <w:rFonts w:ascii="Arial" w:hAnsi="Arial" w:cs="Arial"/>
                <w:sz w:val="20"/>
                <w:szCs w:val="20"/>
              </w:rPr>
              <w:t>1.2.</w:t>
            </w:r>
          </w:p>
        </w:tc>
        <w:tc>
          <w:tcPr>
            <w:tcW w:w="2976" w:type="dxa"/>
            <w:shd w:val="clear" w:color="auto" w:fill="auto"/>
            <w:tcMar>
              <w:top w:w="85" w:type="dxa"/>
            </w:tcMar>
            <w:vAlign w:val="center"/>
          </w:tcPr>
          <w:p w14:paraId="00625EFC" w14:textId="4BBE7AA5" w:rsidR="00FE6B4B" w:rsidRPr="005343D5" w:rsidRDefault="00FE6B4B" w:rsidP="00206D43">
            <w:pPr>
              <w:pStyle w:val="Default"/>
              <w:spacing w:before="143" w:after="143"/>
              <w:jc w:val="both"/>
              <w:rPr>
                <w:rFonts w:ascii="Arial" w:hAnsi="Arial" w:cs="Arial"/>
                <w:sz w:val="20"/>
                <w:szCs w:val="20"/>
              </w:rPr>
            </w:pPr>
            <w:r w:rsidRPr="005343D5">
              <w:rPr>
                <w:rFonts w:ascii="Arial" w:hAnsi="Arial" w:cs="Arial"/>
                <w:sz w:val="20"/>
                <w:szCs w:val="20"/>
              </w:rPr>
              <w:t>A</w:t>
            </w:r>
            <w:r w:rsidR="005C23DB" w:rsidRPr="005343D5">
              <w:rPr>
                <w:rFonts w:ascii="Arial" w:hAnsi="Arial" w:cs="Arial"/>
                <w:sz w:val="20"/>
                <w:szCs w:val="20"/>
              </w:rPr>
              <w:t xml:space="preserve"> </w:t>
            </w:r>
            <w:r w:rsidR="005C23DB" w:rsidRPr="00655858">
              <w:rPr>
                <w:rFonts w:ascii="Arial" w:hAnsi="Arial" w:cs="Arial"/>
                <w:sz w:val="20"/>
                <w:szCs w:val="20"/>
              </w:rPr>
              <w:t>2014/49/EU</w:t>
            </w:r>
            <w:r w:rsidR="004A1AEE">
              <w:rPr>
                <w:rFonts w:ascii="Arial" w:hAnsi="Arial" w:cs="Arial"/>
                <w:sz w:val="20"/>
                <w:szCs w:val="20"/>
              </w:rPr>
              <w:t xml:space="preserve"> </w:t>
            </w:r>
            <w:r w:rsidRPr="005343D5">
              <w:rPr>
                <w:rFonts w:ascii="Arial" w:hAnsi="Arial" w:cs="Arial"/>
                <w:sz w:val="20"/>
                <w:szCs w:val="20"/>
              </w:rPr>
              <w:t xml:space="preserve">európai parlamenti és tanácsi irányelv szerinti </w:t>
            </w:r>
            <w:r w:rsidR="005C23DB" w:rsidRPr="005343D5">
              <w:rPr>
                <w:rFonts w:ascii="Arial" w:hAnsi="Arial" w:cs="Arial"/>
                <w:sz w:val="20"/>
                <w:szCs w:val="20"/>
              </w:rPr>
              <w:t xml:space="preserve">betétbiztosítási rendszer </w:t>
            </w:r>
            <w:r w:rsidRPr="005343D5">
              <w:rPr>
                <w:rFonts w:ascii="Arial" w:hAnsi="Arial" w:cs="Arial"/>
                <w:sz w:val="20"/>
                <w:szCs w:val="20"/>
              </w:rPr>
              <w:t>vagy harmadik ország</w:t>
            </w:r>
            <w:r w:rsidR="00655858">
              <w:rPr>
                <w:rFonts w:ascii="Arial" w:hAnsi="Arial" w:cs="Arial"/>
                <w:sz w:val="20"/>
                <w:szCs w:val="20"/>
              </w:rPr>
              <w:t xml:space="preserve"> </w:t>
            </w:r>
            <w:r w:rsidR="005C23DB" w:rsidRPr="005343D5">
              <w:rPr>
                <w:rFonts w:ascii="Arial" w:hAnsi="Arial" w:cs="Arial"/>
                <w:sz w:val="20"/>
                <w:szCs w:val="20"/>
              </w:rPr>
              <w:t xml:space="preserve">azzal </w:t>
            </w:r>
            <w:r w:rsidRPr="005343D5">
              <w:rPr>
                <w:rFonts w:ascii="Arial" w:hAnsi="Arial" w:cs="Arial"/>
                <w:sz w:val="20"/>
                <w:szCs w:val="20"/>
              </w:rPr>
              <w:t>egyenértékű betétbiztosítási rendszer</w:t>
            </w:r>
            <w:r w:rsidR="005C23DB" w:rsidRPr="005343D5">
              <w:rPr>
                <w:rFonts w:ascii="Arial" w:hAnsi="Arial" w:cs="Arial"/>
                <w:sz w:val="20"/>
                <w:szCs w:val="20"/>
              </w:rPr>
              <w:t>e</w:t>
            </w:r>
            <w:r w:rsidRPr="005343D5">
              <w:rPr>
                <w:rFonts w:ascii="Arial" w:hAnsi="Arial" w:cs="Arial"/>
                <w:sz w:val="20"/>
                <w:szCs w:val="20"/>
              </w:rPr>
              <w:t xml:space="preserve"> által nem </w:t>
            </w:r>
            <w:r w:rsidR="005C23DB" w:rsidRPr="005343D5">
              <w:rPr>
                <w:rFonts w:ascii="Arial" w:hAnsi="Arial" w:cs="Arial"/>
                <w:sz w:val="20"/>
                <w:szCs w:val="20"/>
              </w:rPr>
              <w:t xml:space="preserve">biztosított </w:t>
            </w:r>
            <w:r w:rsidRPr="005343D5">
              <w:rPr>
                <w:rFonts w:ascii="Arial" w:hAnsi="Arial" w:cs="Arial"/>
                <w:sz w:val="20"/>
                <w:szCs w:val="20"/>
              </w:rPr>
              <w:t>betét</w:t>
            </w:r>
            <w:r w:rsidR="005C23DB" w:rsidRPr="005343D5">
              <w:rPr>
                <w:rFonts w:ascii="Arial" w:hAnsi="Arial" w:cs="Arial"/>
                <w:sz w:val="20"/>
                <w:szCs w:val="20"/>
              </w:rPr>
              <w:t>ek</w:t>
            </w:r>
          </w:p>
        </w:tc>
        <w:tc>
          <w:tcPr>
            <w:tcW w:w="4253" w:type="dxa"/>
            <w:shd w:val="clear" w:color="auto" w:fill="auto"/>
            <w:tcMar>
              <w:top w:w="85" w:type="dxa"/>
            </w:tcMar>
            <w:vAlign w:val="center"/>
          </w:tcPr>
          <w:p w14:paraId="58E2A783" w14:textId="6057F4FA" w:rsidR="00FE6B4B" w:rsidRPr="005343D5" w:rsidRDefault="006B36F4" w:rsidP="00BF0E35">
            <w:pPr>
              <w:pStyle w:val="Default"/>
              <w:spacing w:before="143" w:after="143"/>
              <w:jc w:val="both"/>
              <w:rPr>
                <w:rFonts w:ascii="Arial" w:hAnsi="Arial" w:cs="Arial"/>
                <w:sz w:val="20"/>
                <w:szCs w:val="20"/>
                <w:highlight w:val="red"/>
              </w:rPr>
            </w:pPr>
            <w:r>
              <w:rPr>
                <w:rFonts w:ascii="Arial" w:hAnsi="Arial" w:cs="Arial"/>
                <w:sz w:val="20"/>
                <w:szCs w:val="20"/>
              </w:rPr>
              <w:t>A</w:t>
            </w:r>
            <w:r w:rsidR="005C23DB" w:rsidRPr="005343D5">
              <w:rPr>
                <w:rFonts w:ascii="Arial" w:hAnsi="Arial" w:cs="Arial"/>
                <w:sz w:val="20"/>
                <w:szCs w:val="20"/>
              </w:rPr>
              <w:t xml:space="preserve"> 010 sorban nem jelentett betétek, ideértve a 010 sorban jelentett betétek nem biztosított részét</w:t>
            </w:r>
            <w:r w:rsidR="00DC27BD">
              <w:rPr>
                <w:rFonts w:ascii="Arial" w:hAnsi="Arial" w:cs="Arial"/>
                <w:sz w:val="20"/>
                <w:szCs w:val="20"/>
              </w:rPr>
              <w:t xml:space="preserve"> </w:t>
            </w:r>
            <w:r>
              <w:rPr>
                <w:rFonts w:ascii="Arial" w:hAnsi="Arial" w:cs="Arial"/>
                <w:sz w:val="20"/>
                <w:szCs w:val="20"/>
              </w:rPr>
              <w:t>is</w:t>
            </w:r>
            <w:r w:rsidR="005C23DB" w:rsidRPr="005343D5">
              <w:rPr>
                <w:rFonts w:ascii="Arial" w:hAnsi="Arial" w:cs="Arial"/>
                <w:sz w:val="20"/>
                <w:szCs w:val="20"/>
              </w:rPr>
              <w:t xml:space="preserve">. </w:t>
            </w:r>
          </w:p>
        </w:tc>
      </w:tr>
      <w:tr w:rsidR="00FE6B4B" w:rsidRPr="00191B6F" w14:paraId="2114529A" w14:textId="77777777" w:rsidTr="00960BA9">
        <w:tc>
          <w:tcPr>
            <w:tcW w:w="905" w:type="dxa"/>
            <w:shd w:val="clear" w:color="auto" w:fill="auto"/>
            <w:tcMar>
              <w:top w:w="85" w:type="dxa"/>
            </w:tcMar>
            <w:vAlign w:val="center"/>
          </w:tcPr>
          <w:p w14:paraId="01AB3BAB"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030</w:t>
            </w:r>
          </w:p>
        </w:tc>
        <w:tc>
          <w:tcPr>
            <w:tcW w:w="1330" w:type="dxa"/>
            <w:vAlign w:val="center"/>
          </w:tcPr>
          <w:p w14:paraId="211CC047" w14:textId="77777777" w:rsidR="00FE6B4B" w:rsidRDefault="00FE6B4B" w:rsidP="00D16669">
            <w:pPr>
              <w:contextualSpacing/>
              <w:rPr>
                <w:rFonts w:ascii="Arial" w:hAnsi="Arial" w:cs="Arial"/>
                <w:sz w:val="20"/>
                <w:szCs w:val="20"/>
              </w:rPr>
            </w:pPr>
            <w:r>
              <w:rPr>
                <w:rFonts w:ascii="Arial" w:hAnsi="Arial" w:cs="Arial"/>
                <w:sz w:val="20"/>
                <w:szCs w:val="20"/>
              </w:rPr>
              <w:t>1.3.</w:t>
            </w:r>
          </w:p>
        </w:tc>
        <w:tc>
          <w:tcPr>
            <w:tcW w:w="2976" w:type="dxa"/>
            <w:shd w:val="clear" w:color="auto" w:fill="auto"/>
            <w:tcMar>
              <w:top w:w="85" w:type="dxa"/>
            </w:tcMar>
            <w:vAlign w:val="center"/>
          </w:tcPr>
          <w:p w14:paraId="67091D43" w14:textId="15434046" w:rsidR="00FE6B4B" w:rsidRPr="005343D5" w:rsidRDefault="00FE6B4B" w:rsidP="004A1AEE">
            <w:pPr>
              <w:contextualSpacing/>
              <w:jc w:val="both"/>
              <w:rPr>
                <w:rFonts w:ascii="Arial" w:hAnsi="Arial" w:cs="Arial"/>
                <w:sz w:val="20"/>
                <w:szCs w:val="20"/>
              </w:rPr>
            </w:pPr>
            <w:r w:rsidRPr="005343D5">
              <w:rPr>
                <w:rFonts w:ascii="Arial" w:hAnsi="Arial" w:cs="Arial"/>
                <w:sz w:val="20"/>
                <w:szCs w:val="20"/>
              </w:rPr>
              <w:t>Lakossági ügyfeleknek értékesített egyéb, betét</w:t>
            </w:r>
            <w:r w:rsidR="00E92DEC" w:rsidRPr="005343D5">
              <w:rPr>
                <w:rFonts w:ascii="Arial" w:hAnsi="Arial" w:cs="Arial"/>
                <w:sz w:val="20"/>
                <w:szCs w:val="20"/>
              </w:rPr>
              <w:t xml:space="preserve">ekhez hasonló </w:t>
            </w:r>
            <w:r w:rsidRPr="005343D5">
              <w:rPr>
                <w:rFonts w:ascii="Arial" w:hAnsi="Arial" w:cs="Arial"/>
                <w:sz w:val="20"/>
                <w:szCs w:val="20"/>
              </w:rPr>
              <w:t>pénzügyi instrumentumok</w:t>
            </w:r>
          </w:p>
        </w:tc>
        <w:tc>
          <w:tcPr>
            <w:tcW w:w="4253" w:type="dxa"/>
            <w:shd w:val="clear" w:color="auto" w:fill="auto"/>
            <w:tcMar>
              <w:top w:w="85" w:type="dxa"/>
            </w:tcMar>
            <w:vAlign w:val="center"/>
          </w:tcPr>
          <w:p w14:paraId="1A5B90C3" w14:textId="355911A0" w:rsidR="009B44A8" w:rsidRPr="005343D5" w:rsidRDefault="006B36F4" w:rsidP="00BF0E35">
            <w:pPr>
              <w:pStyle w:val="Default"/>
              <w:spacing w:before="143" w:after="143"/>
              <w:jc w:val="both"/>
              <w:rPr>
                <w:rFonts w:ascii="Arial" w:hAnsi="Arial" w:cs="Arial"/>
                <w:sz w:val="20"/>
                <w:szCs w:val="20"/>
              </w:rPr>
            </w:pPr>
            <w:r>
              <w:rPr>
                <w:rFonts w:ascii="Arial" w:hAnsi="Arial" w:cs="Arial"/>
                <w:sz w:val="20"/>
                <w:szCs w:val="20"/>
              </w:rPr>
              <w:t>A</w:t>
            </w:r>
            <w:r w:rsidR="009B44A8" w:rsidRPr="005343D5">
              <w:rPr>
                <w:rFonts w:ascii="Arial" w:hAnsi="Arial" w:cs="Arial"/>
                <w:sz w:val="20"/>
                <w:szCs w:val="20"/>
              </w:rPr>
              <w:t xml:space="preserve">zok a termékek, amelyekhez valamilyen elméleti vagy valós tőkevédelmi elgondolás kapcsolódik, de változó teljesítményű kimenetelük lehet. Ez a tétel csak olyan eszközöket tartalmaz, amelyeket a betétbiztosítási rendszerek nem biztosítanak. </w:t>
            </w:r>
          </w:p>
          <w:p w14:paraId="63B49065" w14:textId="77777777" w:rsidR="00FE6B4B" w:rsidRPr="004E74F2" w:rsidRDefault="00FE6B4B" w:rsidP="00BF0E35">
            <w:pPr>
              <w:contextualSpacing/>
              <w:jc w:val="both"/>
              <w:rPr>
                <w:rFonts w:ascii="Arial" w:hAnsi="Arial" w:cs="Arial"/>
                <w:sz w:val="20"/>
                <w:szCs w:val="20"/>
                <w:highlight w:val="red"/>
              </w:rPr>
            </w:pPr>
            <w:r w:rsidRPr="005343D5">
              <w:rPr>
                <w:rFonts w:ascii="Arial" w:hAnsi="Arial" w:cs="Arial"/>
                <w:sz w:val="20"/>
                <w:szCs w:val="20"/>
              </w:rPr>
              <w:t>Pl. olyan termékek, melyek tartalmaznak valamiféle tőkevédelmi elemet, de a hozam nem meghatározott (pénzpiaci vagy egyéb likviditási befektetési alapok stb</w:t>
            </w:r>
            <w:r w:rsidRPr="00436E31">
              <w:rPr>
                <w:rFonts w:ascii="Arial" w:hAnsi="Arial" w:cs="Arial"/>
                <w:sz w:val="20"/>
                <w:szCs w:val="20"/>
              </w:rPr>
              <w:t>.)</w:t>
            </w:r>
          </w:p>
        </w:tc>
      </w:tr>
    </w:tbl>
    <w:p w14:paraId="23B1A49B" w14:textId="77777777" w:rsidR="00FE6B4B" w:rsidRPr="001B098C" w:rsidRDefault="00FE6B4B" w:rsidP="00FE6B4B">
      <w:pPr>
        <w:rPr>
          <w:rFonts w:ascii="Arial" w:hAnsi="Arial" w:cs="Arial"/>
          <w:sz w:val="20"/>
          <w:szCs w:val="20"/>
        </w:rPr>
      </w:pPr>
    </w:p>
    <w:p w14:paraId="71DB0DB1" w14:textId="77777777" w:rsidR="000D301B" w:rsidRDefault="000D301B">
      <w:pPr>
        <w:rPr>
          <w:rFonts w:ascii="Arial" w:hAnsi="Arial" w:cs="Arial"/>
          <w:b/>
          <w:sz w:val="20"/>
          <w:szCs w:val="20"/>
        </w:rPr>
      </w:pPr>
      <w:r>
        <w:rPr>
          <w:rFonts w:ascii="Arial" w:hAnsi="Arial" w:cs="Arial"/>
          <w:b/>
          <w:sz w:val="20"/>
          <w:szCs w:val="20"/>
        </w:rPr>
        <w:br w:type="page"/>
      </w:r>
    </w:p>
    <w:p w14:paraId="71048CCC" w14:textId="6A524983" w:rsidR="00FE6B4B" w:rsidRDefault="00FE6B4B" w:rsidP="00FE6B4B">
      <w:pPr>
        <w:rPr>
          <w:rFonts w:ascii="Arial" w:hAnsi="Arial" w:cs="Arial"/>
          <w:b/>
          <w:sz w:val="20"/>
          <w:szCs w:val="20"/>
        </w:rPr>
      </w:pPr>
      <w:r w:rsidRPr="00352BD3">
        <w:rPr>
          <w:rFonts w:ascii="Arial" w:hAnsi="Arial" w:cs="Arial"/>
          <w:b/>
          <w:sz w:val="20"/>
          <w:szCs w:val="20"/>
        </w:rPr>
        <w:lastRenderedPageBreak/>
        <w:t>A tábla oszlopai</w:t>
      </w:r>
    </w:p>
    <w:p w14:paraId="569A5AAE" w14:textId="77777777" w:rsidR="00FE6B4B" w:rsidRPr="00352BD3" w:rsidRDefault="00FE6B4B" w:rsidP="00FE6B4B">
      <w:pPr>
        <w:rPr>
          <w:rFonts w:ascii="Arial" w:hAnsi="Arial" w:cs="Arial"/>
          <w:b/>
          <w:sz w:val="20"/>
          <w:szCs w:val="20"/>
        </w:rPr>
      </w:pPr>
    </w:p>
    <w:tbl>
      <w:tblPr>
        <w:tblW w:w="9464" w:type="dxa"/>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Look w:val="04A0" w:firstRow="1" w:lastRow="0" w:firstColumn="1" w:lastColumn="0" w:noHBand="0" w:noVBand="1"/>
      </w:tblPr>
      <w:tblGrid>
        <w:gridCol w:w="905"/>
        <w:gridCol w:w="3456"/>
        <w:gridCol w:w="5103"/>
      </w:tblGrid>
      <w:tr w:rsidR="00FE6B4B" w:rsidRPr="00191B6F" w14:paraId="237A738A" w14:textId="77777777" w:rsidTr="00960BA9">
        <w:tc>
          <w:tcPr>
            <w:tcW w:w="905" w:type="dxa"/>
            <w:shd w:val="clear" w:color="auto" w:fill="auto"/>
            <w:tcMar>
              <w:top w:w="85" w:type="dxa"/>
            </w:tcMar>
            <w:vAlign w:val="center"/>
          </w:tcPr>
          <w:p w14:paraId="7A95A6B0" w14:textId="77777777" w:rsidR="00FE6B4B" w:rsidRPr="0091468E" w:rsidRDefault="00FE6B4B" w:rsidP="00D16669">
            <w:pPr>
              <w:contextualSpacing/>
              <w:rPr>
                <w:rFonts w:ascii="Arial" w:hAnsi="Arial" w:cs="Arial"/>
                <w:b/>
                <w:sz w:val="20"/>
                <w:szCs w:val="20"/>
              </w:rPr>
            </w:pPr>
            <w:r w:rsidRPr="0091468E">
              <w:rPr>
                <w:rFonts w:ascii="Arial" w:hAnsi="Arial" w:cs="Arial"/>
                <w:b/>
                <w:sz w:val="20"/>
                <w:szCs w:val="20"/>
              </w:rPr>
              <w:t>Oszlop</w:t>
            </w:r>
          </w:p>
        </w:tc>
        <w:tc>
          <w:tcPr>
            <w:tcW w:w="3456" w:type="dxa"/>
            <w:shd w:val="clear" w:color="auto" w:fill="auto"/>
            <w:tcMar>
              <w:top w:w="85" w:type="dxa"/>
            </w:tcMar>
            <w:vAlign w:val="center"/>
          </w:tcPr>
          <w:p w14:paraId="5A28BA34" w14:textId="77777777" w:rsidR="00FE6B4B" w:rsidRPr="0091468E" w:rsidRDefault="00FE6B4B" w:rsidP="00D16669">
            <w:pPr>
              <w:contextualSpacing/>
              <w:rPr>
                <w:rFonts w:ascii="Arial" w:hAnsi="Arial" w:cs="Arial"/>
                <w:b/>
                <w:sz w:val="20"/>
                <w:szCs w:val="20"/>
              </w:rPr>
            </w:pPr>
            <w:r w:rsidRPr="0091468E">
              <w:rPr>
                <w:rFonts w:ascii="Arial" w:hAnsi="Arial" w:cs="Arial"/>
                <w:b/>
                <w:sz w:val="20"/>
                <w:szCs w:val="20"/>
              </w:rPr>
              <w:t>Megnevezés</w:t>
            </w:r>
          </w:p>
        </w:tc>
        <w:tc>
          <w:tcPr>
            <w:tcW w:w="5103" w:type="dxa"/>
            <w:shd w:val="clear" w:color="auto" w:fill="auto"/>
            <w:tcMar>
              <w:top w:w="85" w:type="dxa"/>
            </w:tcMar>
            <w:vAlign w:val="center"/>
          </w:tcPr>
          <w:p w14:paraId="677C37ED" w14:textId="77777777" w:rsidR="00FE6B4B" w:rsidRPr="00191B6F" w:rsidRDefault="00FE6B4B" w:rsidP="00D16669">
            <w:pPr>
              <w:contextualSpacing/>
              <w:rPr>
                <w:rFonts w:ascii="Arial" w:hAnsi="Arial" w:cs="Arial"/>
                <w:sz w:val="20"/>
                <w:szCs w:val="20"/>
              </w:rPr>
            </w:pPr>
            <w:r w:rsidRPr="00191B6F">
              <w:rPr>
                <w:rFonts w:ascii="Arial" w:hAnsi="Arial" w:cs="Arial"/>
                <w:b/>
                <w:sz w:val="20"/>
                <w:szCs w:val="20"/>
              </w:rPr>
              <w:t>Hivatkozások jogszabályokra és megjegyzések</w:t>
            </w:r>
          </w:p>
        </w:tc>
      </w:tr>
      <w:tr w:rsidR="00FE6B4B" w:rsidRPr="00191B6F" w14:paraId="180A22B5" w14:textId="77777777" w:rsidTr="00960BA9">
        <w:tc>
          <w:tcPr>
            <w:tcW w:w="905" w:type="dxa"/>
            <w:shd w:val="clear" w:color="auto" w:fill="auto"/>
            <w:tcMar>
              <w:top w:w="85" w:type="dxa"/>
            </w:tcMar>
            <w:vAlign w:val="center"/>
          </w:tcPr>
          <w:p w14:paraId="2BAF32F3"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010</w:t>
            </w:r>
          </w:p>
        </w:tc>
        <w:tc>
          <w:tcPr>
            <w:tcW w:w="3456" w:type="dxa"/>
            <w:shd w:val="clear" w:color="auto" w:fill="auto"/>
            <w:tcMar>
              <w:top w:w="85" w:type="dxa"/>
            </w:tcMar>
            <w:vAlign w:val="center"/>
          </w:tcPr>
          <w:p w14:paraId="7B42687E" w14:textId="77777777" w:rsidR="00FE6B4B" w:rsidRPr="00191B6F" w:rsidRDefault="00FE6B4B" w:rsidP="00D16669">
            <w:pPr>
              <w:contextualSpacing/>
              <w:rPr>
                <w:rFonts w:ascii="Arial" w:hAnsi="Arial" w:cs="Arial"/>
                <w:sz w:val="20"/>
                <w:szCs w:val="20"/>
              </w:rPr>
            </w:pPr>
            <w:r>
              <w:rPr>
                <w:rFonts w:ascii="Arial" w:hAnsi="Arial" w:cs="Arial"/>
                <w:sz w:val="20"/>
                <w:szCs w:val="20"/>
              </w:rPr>
              <w:t>Aktuális – tény</w:t>
            </w:r>
          </w:p>
        </w:tc>
        <w:tc>
          <w:tcPr>
            <w:tcW w:w="5103" w:type="dxa"/>
            <w:shd w:val="clear" w:color="auto" w:fill="auto"/>
            <w:tcMar>
              <w:top w:w="85" w:type="dxa"/>
            </w:tcMar>
            <w:vAlign w:val="center"/>
          </w:tcPr>
          <w:p w14:paraId="3DAFB045" w14:textId="77777777" w:rsidR="00FE6B4B" w:rsidRPr="00191B6F" w:rsidRDefault="00FE6B4B" w:rsidP="00D16669">
            <w:pPr>
              <w:contextualSpacing/>
              <w:jc w:val="both"/>
              <w:rPr>
                <w:rFonts w:ascii="Arial" w:hAnsi="Arial" w:cs="Arial"/>
                <w:sz w:val="20"/>
                <w:szCs w:val="20"/>
              </w:rPr>
            </w:pPr>
            <w:r w:rsidRPr="00191B6F">
              <w:rPr>
                <w:rFonts w:ascii="Arial" w:hAnsi="Arial" w:cs="Arial"/>
                <w:sz w:val="20"/>
                <w:szCs w:val="20"/>
              </w:rPr>
              <w:t xml:space="preserve">Ebben az oszlopban </w:t>
            </w:r>
            <w:r>
              <w:rPr>
                <w:rFonts w:ascii="Arial" w:hAnsi="Arial" w:cs="Arial"/>
                <w:sz w:val="20"/>
                <w:szCs w:val="20"/>
              </w:rPr>
              <w:t xml:space="preserve">az előző év végi tényadatot </w:t>
            </w:r>
            <w:r w:rsidRPr="00191B6F">
              <w:rPr>
                <w:rFonts w:ascii="Arial" w:hAnsi="Arial" w:cs="Arial"/>
                <w:sz w:val="20"/>
                <w:szCs w:val="20"/>
              </w:rPr>
              <w:t xml:space="preserve">kell </w:t>
            </w:r>
            <w:r>
              <w:rPr>
                <w:rFonts w:ascii="Arial" w:hAnsi="Arial" w:cs="Arial"/>
                <w:sz w:val="20"/>
                <w:szCs w:val="20"/>
              </w:rPr>
              <w:t>jelenteni</w:t>
            </w:r>
            <w:r w:rsidRPr="00191B6F">
              <w:rPr>
                <w:rFonts w:ascii="Arial" w:hAnsi="Arial" w:cs="Arial"/>
                <w:sz w:val="20"/>
                <w:szCs w:val="20"/>
              </w:rPr>
              <w:t>.</w:t>
            </w:r>
          </w:p>
        </w:tc>
      </w:tr>
      <w:tr w:rsidR="00FE6B4B" w:rsidRPr="00191B6F" w14:paraId="1E2D118B" w14:textId="77777777" w:rsidTr="00960BA9">
        <w:tc>
          <w:tcPr>
            <w:tcW w:w="905" w:type="dxa"/>
            <w:shd w:val="clear" w:color="auto" w:fill="auto"/>
            <w:tcMar>
              <w:top w:w="85" w:type="dxa"/>
            </w:tcMar>
            <w:vAlign w:val="center"/>
          </w:tcPr>
          <w:p w14:paraId="57E232D9" w14:textId="50058B21" w:rsidR="00FE6B4B" w:rsidRPr="00191B6F" w:rsidRDefault="00FE6B4B" w:rsidP="00D16669">
            <w:pPr>
              <w:contextualSpacing/>
              <w:rPr>
                <w:rFonts w:ascii="Arial" w:hAnsi="Arial" w:cs="Arial"/>
                <w:sz w:val="20"/>
                <w:szCs w:val="20"/>
              </w:rPr>
            </w:pPr>
            <w:r w:rsidRPr="00191B6F">
              <w:rPr>
                <w:rFonts w:ascii="Arial" w:hAnsi="Arial" w:cs="Arial"/>
                <w:sz w:val="20"/>
                <w:szCs w:val="20"/>
              </w:rPr>
              <w:t>0</w:t>
            </w:r>
            <w:r w:rsidR="009B44A8">
              <w:rPr>
                <w:rFonts w:ascii="Arial" w:hAnsi="Arial" w:cs="Arial"/>
                <w:sz w:val="20"/>
                <w:szCs w:val="20"/>
              </w:rPr>
              <w:t>3</w:t>
            </w:r>
            <w:r w:rsidRPr="00191B6F">
              <w:rPr>
                <w:rFonts w:ascii="Arial" w:hAnsi="Arial" w:cs="Arial"/>
                <w:sz w:val="20"/>
                <w:szCs w:val="20"/>
              </w:rPr>
              <w:t>0 -050</w:t>
            </w:r>
          </w:p>
        </w:tc>
        <w:tc>
          <w:tcPr>
            <w:tcW w:w="3456" w:type="dxa"/>
            <w:shd w:val="clear" w:color="auto" w:fill="auto"/>
            <w:tcMar>
              <w:top w:w="85" w:type="dxa"/>
            </w:tcMar>
            <w:vAlign w:val="center"/>
          </w:tcPr>
          <w:p w14:paraId="1BC59869" w14:textId="6C12DD68" w:rsidR="00FE6B4B" w:rsidRPr="00191B6F" w:rsidRDefault="00FE6B4B" w:rsidP="00D16669">
            <w:pPr>
              <w:contextualSpacing/>
              <w:rPr>
                <w:rFonts w:ascii="Arial" w:hAnsi="Arial" w:cs="Arial"/>
                <w:sz w:val="20"/>
                <w:szCs w:val="20"/>
              </w:rPr>
            </w:pPr>
            <w:r w:rsidRPr="00191B6F">
              <w:rPr>
                <w:rFonts w:ascii="Arial" w:hAnsi="Arial" w:cs="Arial"/>
                <w:sz w:val="20"/>
                <w:szCs w:val="20"/>
              </w:rPr>
              <w:t xml:space="preserve">1 év – terv, 2 év – terv, 3 év </w:t>
            </w:r>
            <w:r w:rsidR="007C0883" w:rsidRPr="00191B6F">
              <w:rPr>
                <w:rFonts w:ascii="Arial" w:hAnsi="Arial" w:cs="Arial"/>
                <w:sz w:val="20"/>
                <w:szCs w:val="20"/>
              </w:rPr>
              <w:t>–</w:t>
            </w:r>
            <w:r w:rsidRPr="00191B6F">
              <w:rPr>
                <w:rFonts w:ascii="Arial" w:hAnsi="Arial" w:cs="Arial"/>
                <w:sz w:val="20"/>
                <w:szCs w:val="20"/>
              </w:rPr>
              <w:t xml:space="preserve"> terv</w:t>
            </w:r>
          </w:p>
        </w:tc>
        <w:tc>
          <w:tcPr>
            <w:tcW w:w="5103" w:type="dxa"/>
            <w:shd w:val="clear" w:color="auto" w:fill="auto"/>
            <w:tcMar>
              <w:top w:w="85" w:type="dxa"/>
            </w:tcMar>
            <w:vAlign w:val="center"/>
          </w:tcPr>
          <w:p w14:paraId="0674A500" w14:textId="4ACD498A" w:rsidR="00FE6B4B" w:rsidRDefault="003C5714" w:rsidP="00D16669">
            <w:pPr>
              <w:jc w:val="both"/>
              <w:rPr>
                <w:rFonts w:ascii="Arial" w:hAnsi="Arial" w:cs="Arial"/>
                <w:sz w:val="20"/>
                <w:szCs w:val="20"/>
              </w:rPr>
            </w:pPr>
            <w:r>
              <w:rPr>
                <w:rFonts w:ascii="Arial" w:hAnsi="Arial" w:cs="Arial"/>
                <w:sz w:val="20"/>
                <w:szCs w:val="20"/>
              </w:rPr>
              <w:t>Ezekben az oszlopokban a tényadatot követő 1., 2. és 3. évre vonatkozó terv</w:t>
            </w:r>
            <w:r w:rsidR="006C6B72">
              <w:rPr>
                <w:rFonts w:ascii="Arial" w:hAnsi="Arial" w:cs="Arial"/>
                <w:sz w:val="20"/>
                <w:szCs w:val="20"/>
              </w:rPr>
              <w:t xml:space="preserve"> </w:t>
            </w:r>
            <w:r>
              <w:rPr>
                <w:rFonts w:ascii="Arial" w:hAnsi="Arial" w:cs="Arial"/>
                <w:sz w:val="20"/>
                <w:szCs w:val="20"/>
              </w:rPr>
              <w:t xml:space="preserve">adatokat kell jelenteni. </w:t>
            </w:r>
          </w:p>
          <w:p w14:paraId="43EAB4F6" w14:textId="77777777" w:rsidR="00FE6B4B" w:rsidRPr="00191B6F" w:rsidRDefault="00FE6B4B" w:rsidP="00D16669">
            <w:pPr>
              <w:contextualSpacing/>
              <w:jc w:val="both"/>
              <w:rPr>
                <w:rFonts w:ascii="Arial" w:hAnsi="Arial" w:cs="Arial"/>
                <w:sz w:val="20"/>
                <w:szCs w:val="20"/>
              </w:rPr>
            </w:pPr>
            <w:r w:rsidRPr="00191B6F">
              <w:rPr>
                <w:rFonts w:ascii="Arial" w:hAnsi="Arial" w:cs="Arial"/>
                <w:sz w:val="20"/>
                <w:szCs w:val="20"/>
              </w:rPr>
              <w:t>Ezeket az oszlopokat a hitelintézeteknek a normál makrogazdasági helyzet és normál üzletmenet feltételezése mellett tett előrejelzések szerint kell kitölteniük. Az MNB nem ad meg makrogazdasági szcenáriót, a hitelintézetnek a saját becslései közül a legvalószínűbbet kell alkalmaznia.</w:t>
            </w:r>
          </w:p>
        </w:tc>
      </w:tr>
    </w:tbl>
    <w:p w14:paraId="4206C29C" w14:textId="77777777" w:rsidR="00FE6B4B" w:rsidRDefault="00FE6B4B" w:rsidP="00FE6B4B">
      <w:pPr>
        <w:rPr>
          <w:rFonts w:ascii="Arial" w:hAnsi="Arial" w:cs="Arial"/>
          <w:b/>
          <w:sz w:val="20"/>
          <w:szCs w:val="20"/>
        </w:rPr>
      </w:pPr>
    </w:p>
    <w:p w14:paraId="1864AE98" w14:textId="77777777" w:rsidR="00FE6B4B" w:rsidRDefault="00FE6B4B" w:rsidP="00FE6B4B">
      <w:pPr>
        <w:rPr>
          <w:rFonts w:ascii="Arial" w:hAnsi="Arial" w:cs="Arial"/>
          <w:b/>
          <w:sz w:val="20"/>
          <w:szCs w:val="20"/>
        </w:rPr>
      </w:pPr>
    </w:p>
    <w:p w14:paraId="698AC17A" w14:textId="45DFB17B" w:rsidR="00FE6B4B" w:rsidRDefault="0062780E" w:rsidP="00FE6B4B">
      <w:pPr>
        <w:rPr>
          <w:rFonts w:ascii="Arial" w:hAnsi="Arial" w:cs="Arial"/>
          <w:b/>
          <w:sz w:val="20"/>
          <w:szCs w:val="20"/>
        </w:rPr>
      </w:pPr>
      <w:r>
        <w:rPr>
          <w:rFonts w:ascii="Arial" w:hAnsi="Arial" w:cs="Arial"/>
          <w:b/>
          <w:sz w:val="20"/>
          <w:szCs w:val="20"/>
        </w:rPr>
        <w:t xml:space="preserve">5. </w:t>
      </w:r>
      <w:r w:rsidR="00FE6B4B" w:rsidRPr="001B098C">
        <w:rPr>
          <w:rFonts w:ascii="Arial" w:hAnsi="Arial" w:cs="Arial"/>
          <w:b/>
          <w:sz w:val="20"/>
          <w:szCs w:val="20"/>
        </w:rPr>
        <w:t>P</w:t>
      </w:r>
      <w:r w:rsidR="00857983">
        <w:rPr>
          <w:rFonts w:ascii="Arial" w:hAnsi="Arial" w:cs="Arial"/>
          <w:b/>
          <w:sz w:val="20"/>
          <w:szCs w:val="20"/>
        </w:rPr>
        <w:t>_</w:t>
      </w:r>
      <w:r w:rsidR="00FE6B4B" w:rsidRPr="001B098C">
        <w:rPr>
          <w:rFonts w:ascii="Arial" w:hAnsi="Arial" w:cs="Arial"/>
          <w:b/>
          <w:sz w:val="20"/>
          <w:szCs w:val="20"/>
        </w:rPr>
        <w:t xml:space="preserve">02.02 </w:t>
      </w:r>
      <w:r w:rsidR="00FE6B4B">
        <w:rPr>
          <w:rFonts w:ascii="Arial" w:hAnsi="Arial" w:cs="Arial"/>
          <w:b/>
          <w:sz w:val="20"/>
          <w:szCs w:val="20"/>
        </w:rPr>
        <w:t xml:space="preserve">Finanszírozási terv </w:t>
      </w:r>
      <w:r w:rsidR="008E3A5A">
        <w:rPr>
          <w:rFonts w:ascii="Arial" w:hAnsi="Arial" w:cs="Arial"/>
          <w:b/>
          <w:caps/>
          <w:sz w:val="20"/>
          <w:szCs w:val="20"/>
          <w:lang w:val="en-US" w:eastAsia="en-GB"/>
        </w:rPr>
        <w:t>–</w:t>
      </w:r>
      <w:r w:rsidR="00FE6B4B">
        <w:rPr>
          <w:rFonts w:ascii="Arial" w:hAnsi="Arial" w:cs="Arial"/>
          <w:b/>
          <w:sz w:val="20"/>
          <w:szCs w:val="20"/>
        </w:rPr>
        <w:t xml:space="preserve"> Közszektorbeli </w:t>
      </w:r>
      <w:r w:rsidR="00A87F50">
        <w:rPr>
          <w:rFonts w:ascii="Arial" w:hAnsi="Arial" w:cs="Arial"/>
          <w:b/>
          <w:sz w:val="20"/>
          <w:szCs w:val="20"/>
        </w:rPr>
        <w:t xml:space="preserve">és központi banki </w:t>
      </w:r>
      <w:r w:rsidR="00FE6B4B">
        <w:rPr>
          <w:rFonts w:ascii="Arial" w:hAnsi="Arial" w:cs="Arial"/>
          <w:b/>
          <w:sz w:val="20"/>
          <w:szCs w:val="20"/>
        </w:rPr>
        <w:t xml:space="preserve">finanszírozási </w:t>
      </w:r>
      <w:r w:rsidR="00FE6B4B" w:rsidRPr="001B098C">
        <w:rPr>
          <w:rFonts w:ascii="Arial" w:hAnsi="Arial" w:cs="Arial"/>
          <w:b/>
          <w:sz w:val="20"/>
          <w:szCs w:val="20"/>
        </w:rPr>
        <w:t>források</w:t>
      </w:r>
    </w:p>
    <w:p w14:paraId="0B2D515F" w14:textId="77777777" w:rsidR="00FE6B4B" w:rsidRDefault="00FE6B4B" w:rsidP="00FE6B4B">
      <w:pPr>
        <w:rPr>
          <w:rFonts w:ascii="Arial" w:hAnsi="Arial" w:cs="Arial"/>
          <w:b/>
          <w:sz w:val="20"/>
          <w:szCs w:val="20"/>
        </w:rPr>
      </w:pPr>
    </w:p>
    <w:p w14:paraId="64975A23" w14:textId="77777777" w:rsidR="00FE6B4B" w:rsidRDefault="00FE6B4B" w:rsidP="00FE6B4B">
      <w:pPr>
        <w:rPr>
          <w:rFonts w:ascii="Arial" w:hAnsi="Arial" w:cs="Arial"/>
          <w:b/>
          <w:sz w:val="20"/>
          <w:szCs w:val="20"/>
        </w:rPr>
      </w:pPr>
      <w:r>
        <w:rPr>
          <w:rFonts w:ascii="Arial" w:hAnsi="Arial" w:cs="Arial"/>
          <w:b/>
          <w:sz w:val="20"/>
          <w:szCs w:val="20"/>
        </w:rPr>
        <w:t>A tábla sorai</w:t>
      </w:r>
    </w:p>
    <w:p w14:paraId="1D69EC80" w14:textId="77777777" w:rsidR="00FE6B4B" w:rsidRPr="001B098C" w:rsidRDefault="00FE6B4B" w:rsidP="00FE6B4B">
      <w:pPr>
        <w:rPr>
          <w:rFonts w:ascii="Arial" w:hAnsi="Arial" w:cs="Arial"/>
          <w:b/>
          <w:sz w:val="20"/>
          <w:szCs w:val="20"/>
        </w:rPr>
      </w:pPr>
    </w:p>
    <w:tbl>
      <w:tblPr>
        <w:tblW w:w="9464" w:type="dxa"/>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Look w:val="04A0" w:firstRow="1" w:lastRow="0" w:firstColumn="1" w:lastColumn="0" w:noHBand="0" w:noVBand="1"/>
      </w:tblPr>
      <w:tblGrid>
        <w:gridCol w:w="905"/>
        <w:gridCol w:w="1330"/>
        <w:gridCol w:w="2976"/>
        <w:gridCol w:w="4253"/>
      </w:tblGrid>
      <w:tr w:rsidR="00FE6B4B" w:rsidRPr="0066147C" w14:paraId="20852716" w14:textId="77777777" w:rsidTr="00960BA9">
        <w:tc>
          <w:tcPr>
            <w:tcW w:w="905" w:type="dxa"/>
            <w:shd w:val="clear" w:color="auto" w:fill="auto"/>
            <w:vAlign w:val="center"/>
          </w:tcPr>
          <w:p w14:paraId="03A2A0AD" w14:textId="77777777" w:rsidR="00FE6B4B" w:rsidRPr="0066147C" w:rsidRDefault="00FE6B4B" w:rsidP="00D16669">
            <w:pPr>
              <w:contextualSpacing/>
              <w:jc w:val="center"/>
              <w:rPr>
                <w:rFonts w:ascii="Arial" w:hAnsi="Arial" w:cs="Arial"/>
                <w:b/>
                <w:sz w:val="20"/>
                <w:szCs w:val="20"/>
              </w:rPr>
            </w:pPr>
            <w:r w:rsidRPr="0066147C">
              <w:rPr>
                <w:rFonts w:ascii="Arial" w:hAnsi="Arial" w:cs="Arial"/>
                <w:b/>
                <w:sz w:val="20"/>
                <w:szCs w:val="20"/>
              </w:rPr>
              <w:t>Sorkód</w:t>
            </w:r>
          </w:p>
        </w:tc>
        <w:tc>
          <w:tcPr>
            <w:tcW w:w="1330" w:type="dxa"/>
            <w:vAlign w:val="center"/>
          </w:tcPr>
          <w:p w14:paraId="10FACCD7" w14:textId="77777777" w:rsidR="00FE6B4B" w:rsidRPr="0066147C" w:rsidRDefault="00FE6B4B" w:rsidP="00D16669">
            <w:pPr>
              <w:contextualSpacing/>
              <w:jc w:val="center"/>
              <w:rPr>
                <w:rFonts w:ascii="Arial" w:hAnsi="Arial" w:cs="Arial"/>
                <w:b/>
                <w:sz w:val="20"/>
                <w:szCs w:val="20"/>
              </w:rPr>
            </w:pPr>
            <w:r>
              <w:rPr>
                <w:rFonts w:ascii="Arial" w:hAnsi="Arial" w:cs="Arial"/>
                <w:b/>
                <w:sz w:val="20"/>
                <w:szCs w:val="20"/>
              </w:rPr>
              <w:t>Hierarchia</w:t>
            </w:r>
          </w:p>
        </w:tc>
        <w:tc>
          <w:tcPr>
            <w:tcW w:w="2976" w:type="dxa"/>
            <w:shd w:val="clear" w:color="auto" w:fill="auto"/>
            <w:vAlign w:val="center"/>
          </w:tcPr>
          <w:p w14:paraId="00910C3B" w14:textId="77777777" w:rsidR="00FE6B4B" w:rsidRPr="0066147C" w:rsidRDefault="00FE6B4B" w:rsidP="00D16669">
            <w:pPr>
              <w:contextualSpacing/>
              <w:jc w:val="center"/>
              <w:rPr>
                <w:rFonts w:ascii="Arial" w:hAnsi="Arial" w:cs="Arial"/>
                <w:b/>
                <w:sz w:val="20"/>
                <w:szCs w:val="20"/>
              </w:rPr>
            </w:pPr>
            <w:r w:rsidRPr="0066147C">
              <w:rPr>
                <w:rFonts w:ascii="Arial" w:hAnsi="Arial" w:cs="Arial"/>
                <w:b/>
                <w:sz w:val="20"/>
                <w:szCs w:val="20"/>
              </w:rPr>
              <w:t>Megnevezés</w:t>
            </w:r>
          </w:p>
        </w:tc>
        <w:tc>
          <w:tcPr>
            <w:tcW w:w="4253" w:type="dxa"/>
            <w:shd w:val="clear" w:color="auto" w:fill="auto"/>
            <w:vAlign w:val="center"/>
          </w:tcPr>
          <w:p w14:paraId="578EE8C8" w14:textId="77777777" w:rsidR="00FE6B4B" w:rsidRPr="0066147C" w:rsidRDefault="00FE6B4B" w:rsidP="00D16669">
            <w:pPr>
              <w:contextualSpacing/>
              <w:jc w:val="center"/>
              <w:rPr>
                <w:rFonts w:ascii="Arial" w:hAnsi="Arial" w:cs="Arial"/>
                <w:b/>
                <w:sz w:val="20"/>
                <w:szCs w:val="20"/>
              </w:rPr>
            </w:pPr>
            <w:r w:rsidRPr="00191B6F">
              <w:rPr>
                <w:rFonts w:ascii="Arial" w:hAnsi="Arial" w:cs="Arial"/>
                <w:b/>
                <w:sz w:val="20"/>
                <w:szCs w:val="20"/>
              </w:rPr>
              <w:t>Hivatkozások jogszabályokra és megjegyzések</w:t>
            </w:r>
          </w:p>
        </w:tc>
      </w:tr>
      <w:tr w:rsidR="008A22F4" w:rsidRPr="00191B6F" w14:paraId="6B61572A" w14:textId="77777777" w:rsidTr="00960BA9">
        <w:tc>
          <w:tcPr>
            <w:tcW w:w="905" w:type="dxa"/>
            <w:shd w:val="clear" w:color="auto" w:fill="auto"/>
            <w:tcMar>
              <w:top w:w="85" w:type="dxa"/>
            </w:tcMar>
            <w:vAlign w:val="center"/>
          </w:tcPr>
          <w:p w14:paraId="2EB447EF" w14:textId="2889885E" w:rsidR="008A22F4" w:rsidRPr="00191B6F" w:rsidRDefault="008A22F4" w:rsidP="00D16669">
            <w:pPr>
              <w:contextualSpacing/>
              <w:rPr>
                <w:rFonts w:ascii="Arial" w:hAnsi="Arial" w:cs="Arial"/>
                <w:sz w:val="20"/>
                <w:szCs w:val="20"/>
              </w:rPr>
            </w:pPr>
            <w:r>
              <w:rPr>
                <w:rFonts w:ascii="Arial" w:hAnsi="Arial" w:cs="Arial"/>
                <w:sz w:val="20"/>
                <w:szCs w:val="20"/>
              </w:rPr>
              <w:t>005</w:t>
            </w:r>
          </w:p>
        </w:tc>
        <w:tc>
          <w:tcPr>
            <w:tcW w:w="1330" w:type="dxa"/>
            <w:vAlign w:val="center"/>
          </w:tcPr>
          <w:p w14:paraId="553857C4" w14:textId="575E772C" w:rsidR="008A22F4" w:rsidRPr="00436E31" w:rsidRDefault="008A22F4" w:rsidP="00436E31">
            <w:pPr>
              <w:rPr>
                <w:rFonts w:ascii="Arial" w:hAnsi="Arial" w:cs="Arial"/>
                <w:sz w:val="20"/>
                <w:szCs w:val="20"/>
              </w:rPr>
            </w:pPr>
            <w:r>
              <w:rPr>
                <w:rFonts w:ascii="Arial" w:hAnsi="Arial" w:cs="Arial"/>
                <w:sz w:val="20"/>
                <w:szCs w:val="20"/>
              </w:rPr>
              <w:t>1.1</w:t>
            </w:r>
            <w:r w:rsidR="005343D5">
              <w:rPr>
                <w:rFonts w:ascii="Arial" w:hAnsi="Arial" w:cs="Arial"/>
                <w:sz w:val="20"/>
                <w:szCs w:val="20"/>
              </w:rPr>
              <w:t>.</w:t>
            </w:r>
          </w:p>
        </w:tc>
        <w:tc>
          <w:tcPr>
            <w:tcW w:w="2976" w:type="dxa"/>
            <w:shd w:val="clear" w:color="auto" w:fill="auto"/>
            <w:tcMar>
              <w:top w:w="85" w:type="dxa"/>
            </w:tcMar>
            <w:vAlign w:val="center"/>
          </w:tcPr>
          <w:p w14:paraId="6D8BE007" w14:textId="2BBE152B" w:rsidR="008A22F4" w:rsidRPr="00191B6F" w:rsidRDefault="008A22F4" w:rsidP="00BF0E35">
            <w:pPr>
              <w:contextualSpacing/>
              <w:jc w:val="both"/>
              <w:rPr>
                <w:rFonts w:ascii="Arial" w:hAnsi="Arial" w:cs="Arial"/>
                <w:sz w:val="20"/>
                <w:szCs w:val="20"/>
              </w:rPr>
            </w:pPr>
            <w:r w:rsidRPr="008A22F4">
              <w:rPr>
                <w:rFonts w:ascii="Arial" w:hAnsi="Arial" w:cs="Arial"/>
                <w:sz w:val="20"/>
                <w:szCs w:val="20"/>
              </w:rPr>
              <w:t>Nemzeti és nemzetközi</w:t>
            </w:r>
            <w:r w:rsidR="00E3378D">
              <w:rPr>
                <w:rFonts w:ascii="Arial" w:hAnsi="Arial" w:cs="Arial"/>
                <w:sz w:val="20"/>
                <w:szCs w:val="20"/>
              </w:rPr>
              <w:t>,</w:t>
            </w:r>
            <w:r w:rsidRPr="008A22F4">
              <w:rPr>
                <w:rFonts w:ascii="Arial" w:hAnsi="Arial" w:cs="Arial"/>
                <w:sz w:val="20"/>
                <w:szCs w:val="20"/>
              </w:rPr>
              <w:t xml:space="preserve"> </w:t>
            </w:r>
            <w:r w:rsidR="006B36F4">
              <w:rPr>
                <w:rFonts w:ascii="Arial" w:hAnsi="Arial" w:cs="Arial"/>
                <w:sz w:val="20"/>
                <w:szCs w:val="20"/>
              </w:rPr>
              <w:t>1</w:t>
            </w:r>
            <w:r w:rsidRPr="008A22F4">
              <w:rPr>
                <w:rFonts w:ascii="Arial" w:hAnsi="Arial" w:cs="Arial"/>
                <w:sz w:val="20"/>
                <w:szCs w:val="20"/>
              </w:rPr>
              <w:t xml:space="preserve"> évnél rövidebb lejárat</w:t>
            </w:r>
            <w:r w:rsidR="006B36F4">
              <w:rPr>
                <w:rFonts w:ascii="Arial" w:hAnsi="Arial" w:cs="Arial"/>
                <w:sz w:val="20"/>
                <w:szCs w:val="20"/>
              </w:rPr>
              <w:t>ú</w:t>
            </w:r>
            <w:r w:rsidRPr="008A22F4">
              <w:rPr>
                <w:rFonts w:ascii="Arial" w:hAnsi="Arial" w:cs="Arial"/>
                <w:sz w:val="20"/>
                <w:szCs w:val="20"/>
              </w:rPr>
              <w:t xml:space="preserve"> repó finanszírozási programok</w:t>
            </w:r>
          </w:p>
        </w:tc>
        <w:tc>
          <w:tcPr>
            <w:tcW w:w="4253" w:type="dxa"/>
            <w:shd w:val="clear" w:color="auto" w:fill="auto"/>
            <w:tcMar>
              <w:top w:w="85" w:type="dxa"/>
            </w:tcMar>
            <w:vAlign w:val="center"/>
          </w:tcPr>
          <w:p w14:paraId="3F18C048" w14:textId="2FEDCB84" w:rsidR="004D7DE5" w:rsidRPr="00436E31" w:rsidRDefault="00947CBA" w:rsidP="00BF0E35">
            <w:pPr>
              <w:pStyle w:val="Default"/>
              <w:spacing w:before="143" w:after="101"/>
              <w:jc w:val="both"/>
              <w:rPr>
                <w:rFonts w:ascii="Arial" w:hAnsi="Arial" w:cs="Arial"/>
                <w:sz w:val="20"/>
                <w:szCs w:val="20"/>
              </w:rPr>
            </w:pPr>
            <w:r w:rsidRPr="00947CBA">
              <w:rPr>
                <w:rFonts w:ascii="Arial" w:hAnsi="Arial" w:cs="Arial"/>
                <w:sz w:val="20"/>
                <w:szCs w:val="20"/>
              </w:rPr>
              <w:t>Általános (több hitelintézet számára elérhető) programokból szárm</w:t>
            </w:r>
            <w:r w:rsidRPr="00041D7B">
              <w:rPr>
                <w:rFonts w:ascii="Arial" w:hAnsi="Arial" w:cs="Arial"/>
                <w:sz w:val="20"/>
                <w:szCs w:val="20"/>
              </w:rPr>
              <w:t xml:space="preserve">azó források. </w:t>
            </w:r>
            <w:r w:rsidR="006B36F4">
              <w:rPr>
                <w:rFonts w:ascii="Arial" w:hAnsi="Arial" w:cs="Arial"/>
                <w:sz w:val="20"/>
                <w:szCs w:val="20"/>
              </w:rPr>
              <w:t>J</w:t>
            </w:r>
            <w:r w:rsidR="004D7DE5" w:rsidRPr="00436E31">
              <w:rPr>
                <w:rFonts w:ascii="Arial" w:hAnsi="Arial" w:cs="Arial"/>
                <w:sz w:val="20"/>
                <w:szCs w:val="20"/>
              </w:rPr>
              <w:t>elenteni</w:t>
            </w:r>
            <w:r w:rsidR="00C534A9">
              <w:rPr>
                <w:rFonts w:ascii="Arial" w:hAnsi="Arial" w:cs="Arial"/>
                <w:sz w:val="20"/>
                <w:szCs w:val="20"/>
              </w:rPr>
              <w:t xml:space="preserve"> </w:t>
            </w:r>
            <w:r w:rsidR="006B36F4">
              <w:rPr>
                <w:rFonts w:ascii="Arial" w:hAnsi="Arial" w:cs="Arial"/>
                <w:sz w:val="20"/>
                <w:szCs w:val="20"/>
              </w:rPr>
              <w:t>kell</w:t>
            </w:r>
            <w:r w:rsidR="004D7DE5" w:rsidRPr="00436E31">
              <w:rPr>
                <w:rFonts w:ascii="Arial" w:hAnsi="Arial" w:cs="Arial"/>
                <w:sz w:val="20"/>
                <w:szCs w:val="20"/>
              </w:rPr>
              <w:t xml:space="preserve"> a (központi bankoktól repóügylet útján) kapott fix lejáratú finanszírozás összegét. </w:t>
            </w:r>
          </w:p>
          <w:p w14:paraId="402F9EC3" w14:textId="77777777" w:rsidR="008A22F4" w:rsidRDefault="004D7DE5" w:rsidP="00BF0E35">
            <w:pPr>
              <w:contextualSpacing/>
              <w:jc w:val="both"/>
              <w:rPr>
                <w:rFonts w:ascii="Arial" w:hAnsi="Arial" w:cs="Arial"/>
                <w:sz w:val="20"/>
                <w:szCs w:val="20"/>
              </w:rPr>
            </w:pPr>
            <w:r w:rsidRPr="00436E31">
              <w:rPr>
                <w:rFonts w:ascii="Arial" w:hAnsi="Arial" w:cs="Arial"/>
                <w:sz w:val="20"/>
                <w:szCs w:val="20"/>
              </w:rPr>
              <w:t xml:space="preserve">A központi bank finanszírozási programjain, például az Európai Központi Bank (EKB) fő refinanszírozási műveletein (MRO) keresztül kapott finanszírozást ebben a sorban kell jelenteni, függetlenül a tranzakció jogi formájától, azaz attól, hogy repóügyletként vagy más módon hajtják-e végre. </w:t>
            </w:r>
          </w:p>
          <w:p w14:paraId="5542A723" w14:textId="77777777" w:rsidR="00D577FA" w:rsidRDefault="00D577FA" w:rsidP="00BF0E35">
            <w:pPr>
              <w:contextualSpacing/>
              <w:jc w:val="both"/>
              <w:rPr>
                <w:rFonts w:ascii="Arial" w:hAnsi="Arial" w:cs="Arial"/>
                <w:sz w:val="20"/>
                <w:szCs w:val="20"/>
              </w:rPr>
            </w:pPr>
          </w:p>
          <w:p w14:paraId="2A1E66FA" w14:textId="77FBAB66" w:rsidR="00D577FA" w:rsidRPr="00191B6F" w:rsidRDefault="00A5186E" w:rsidP="00BF0E35">
            <w:pPr>
              <w:contextualSpacing/>
              <w:jc w:val="both"/>
              <w:rPr>
                <w:rFonts w:ascii="Arial" w:hAnsi="Arial" w:cs="Arial"/>
                <w:sz w:val="20"/>
                <w:szCs w:val="20"/>
              </w:rPr>
            </w:pPr>
            <w:r w:rsidRPr="00436E31">
              <w:rPr>
                <w:rFonts w:ascii="Arial" w:hAnsi="Arial" w:cs="Arial"/>
                <w:sz w:val="20"/>
                <w:szCs w:val="20"/>
              </w:rPr>
              <w:t>A</w:t>
            </w:r>
            <w:r>
              <w:rPr>
                <w:rFonts w:ascii="Arial" w:hAnsi="Arial" w:cs="Arial"/>
                <w:sz w:val="20"/>
                <w:szCs w:val="20"/>
              </w:rPr>
              <w:t>zon tételek jelentendők, amelyek</w:t>
            </w:r>
            <w:r w:rsidRPr="00436E31">
              <w:rPr>
                <w:rFonts w:ascii="Arial" w:hAnsi="Arial" w:cs="Arial"/>
                <w:sz w:val="20"/>
                <w:szCs w:val="20"/>
              </w:rPr>
              <w:t xml:space="preserve"> </w:t>
            </w:r>
            <w:r>
              <w:rPr>
                <w:rFonts w:ascii="Arial" w:hAnsi="Arial" w:cs="Arial"/>
                <w:sz w:val="20"/>
                <w:szCs w:val="20"/>
              </w:rPr>
              <w:t xml:space="preserve">esetében a </w:t>
            </w:r>
            <w:r w:rsidRPr="00436E31">
              <w:rPr>
                <w:rFonts w:ascii="Arial" w:hAnsi="Arial" w:cs="Arial"/>
                <w:sz w:val="20"/>
                <w:szCs w:val="20"/>
              </w:rPr>
              <w:t>kezdeti lejárat vagy az első lehívási dátum kevesebb, mint 1 év.</w:t>
            </w:r>
          </w:p>
        </w:tc>
      </w:tr>
      <w:tr w:rsidR="00FE6B4B" w:rsidRPr="00191B6F" w14:paraId="0110E549" w14:textId="77777777" w:rsidTr="00960BA9">
        <w:tc>
          <w:tcPr>
            <w:tcW w:w="905" w:type="dxa"/>
            <w:shd w:val="clear" w:color="auto" w:fill="auto"/>
            <w:tcMar>
              <w:top w:w="85" w:type="dxa"/>
            </w:tcMar>
            <w:vAlign w:val="center"/>
          </w:tcPr>
          <w:p w14:paraId="2F39418C"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010</w:t>
            </w:r>
          </w:p>
        </w:tc>
        <w:tc>
          <w:tcPr>
            <w:tcW w:w="1330" w:type="dxa"/>
            <w:vAlign w:val="center"/>
          </w:tcPr>
          <w:p w14:paraId="4294676F" w14:textId="061C2721" w:rsidR="00FE6B4B" w:rsidRPr="00191B6F" w:rsidRDefault="00FE6B4B" w:rsidP="00D16669">
            <w:pPr>
              <w:contextualSpacing/>
              <w:rPr>
                <w:rFonts w:ascii="Arial" w:hAnsi="Arial" w:cs="Arial"/>
                <w:sz w:val="20"/>
                <w:szCs w:val="20"/>
              </w:rPr>
            </w:pPr>
            <w:r>
              <w:rPr>
                <w:rFonts w:ascii="Arial" w:hAnsi="Arial" w:cs="Arial"/>
                <w:sz w:val="20"/>
                <w:szCs w:val="20"/>
              </w:rPr>
              <w:t>1.</w:t>
            </w:r>
            <w:r w:rsidR="00947CBA">
              <w:rPr>
                <w:rFonts w:ascii="Arial" w:hAnsi="Arial" w:cs="Arial"/>
                <w:sz w:val="20"/>
                <w:szCs w:val="20"/>
              </w:rPr>
              <w:t>2.</w:t>
            </w:r>
          </w:p>
        </w:tc>
        <w:tc>
          <w:tcPr>
            <w:tcW w:w="2976" w:type="dxa"/>
            <w:shd w:val="clear" w:color="auto" w:fill="auto"/>
            <w:tcMar>
              <w:top w:w="85" w:type="dxa"/>
            </w:tcMar>
            <w:vAlign w:val="center"/>
          </w:tcPr>
          <w:p w14:paraId="5250E36B" w14:textId="6EC14E2D" w:rsidR="00FE6B4B" w:rsidRPr="00436E31" w:rsidRDefault="00FE6B4B" w:rsidP="00BF0E35">
            <w:pPr>
              <w:contextualSpacing/>
              <w:jc w:val="both"/>
              <w:rPr>
                <w:rFonts w:ascii="Arial" w:hAnsi="Arial" w:cs="Arial"/>
                <w:sz w:val="20"/>
                <w:szCs w:val="20"/>
              </w:rPr>
            </w:pPr>
            <w:r w:rsidRPr="00436E31">
              <w:rPr>
                <w:rFonts w:ascii="Arial" w:hAnsi="Arial" w:cs="Arial"/>
                <w:sz w:val="20"/>
                <w:szCs w:val="20"/>
              </w:rPr>
              <w:t>Nemzeti és nemzetközi</w:t>
            </w:r>
            <w:r w:rsidR="00D577FA">
              <w:rPr>
                <w:rFonts w:ascii="Arial" w:hAnsi="Arial" w:cs="Arial"/>
                <w:sz w:val="20"/>
                <w:szCs w:val="20"/>
              </w:rPr>
              <w:t>,</w:t>
            </w:r>
            <w:r w:rsidRPr="00436E31">
              <w:rPr>
                <w:rFonts w:ascii="Arial" w:hAnsi="Arial" w:cs="Arial"/>
                <w:sz w:val="20"/>
                <w:szCs w:val="20"/>
              </w:rPr>
              <w:t xml:space="preserve"> </w:t>
            </w:r>
            <w:r w:rsidR="006B36F4">
              <w:rPr>
                <w:rFonts w:ascii="Arial" w:hAnsi="Arial" w:cs="Arial"/>
                <w:sz w:val="20"/>
                <w:szCs w:val="20"/>
              </w:rPr>
              <w:t>1</w:t>
            </w:r>
            <w:r w:rsidR="00947CBA" w:rsidRPr="00436E31">
              <w:rPr>
                <w:rFonts w:ascii="Arial" w:hAnsi="Arial" w:cs="Arial"/>
                <w:sz w:val="20"/>
                <w:szCs w:val="20"/>
              </w:rPr>
              <w:t xml:space="preserve"> éves vagy annál hosszabb </w:t>
            </w:r>
            <w:r w:rsidRPr="00436E31">
              <w:rPr>
                <w:rFonts w:ascii="Arial" w:hAnsi="Arial" w:cs="Arial"/>
                <w:sz w:val="20"/>
                <w:szCs w:val="20"/>
              </w:rPr>
              <w:t>lejárat</w:t>
            </w:r>
            <w:r w:rsidR="006B36F4">
              <w:rPr>
                <w:rFonts w:ascii="Arial" w:hAnsi="Arial" w:cs="Arial"/>
                <w:sz w:val="20"/>
                <w:szCs w:val="20"/>
              </w:rPr>
              <w:t>ú</w:t>
            </w:r>
            <w:r w:rsidRPr="00436E31">
              <w:rPr>
                <w:rFonts w:ascii="Arial" w:hAnsi="Arial" w:cs="Arial"/>
                <w:sz w:val="20"/>
                <w:szCs w:val="20"/>
              </w:rPr>
              <w:t xml:space="preserve"> repó</w:t>
            </w:r>
            <w:r w:rsidR="00947CBA" w:rsidRPr="00436E31">
              <w:rPr>
                <w:rFonts w:ascii="Arial" w:hAnsi="Arial" w:cs="Arial"/>
                <w:sz w:val="20"/>
                <w:szCs w:val="20"/>
              </w:rPr>
              <w:t xml:space="preserve"> </w:t>
            </w:r>
            <w:r w:rsidRPr="00436E31">
              <w:rPr>
                <w:rFonts w:ascii="Arial" w:hAnsi="Arial" w:cs="Arial"/>
                <w:sz w:val="20"/>
                <w:szCs w:val="20"/>
              </w:rPr>
              <w:t xml:space="preserve">finanszírozási </w:t>
            </w:r>
            <w:r w:rsidR="00947CBA" w:rsidRPr="00436E31">
              <w:rPr>
                <w:rFonts w:ascii="Arial" w:hAnsi="Arial" w:cs="Arial"/>
                <w:sz w:val="20"/>
                <w:szCs w:val="20"/>
              </w:rPr>
              <w:t xml:space="preserve">programok </w:t>
            </w:r>
          </w:p>
        </w:tc>
        <w:tc>
          <w:tcPr>
            <w:tcW w:w="4253" w:type="dxa"/>
            <w:shd w:val="clear" w:color="auto" w:fill="auto"/>
            <w:tcMar>
              <w:top w:w="85" w:type="dxa"/>
            </w:tcMar>
            <w:vAlign w:val="center"/>
          </w:tcPr>
          <w:p w14:paraId="793F2140" w14:textId="77777777" w:rsidR="00947CBA" w:rsidRPr="00436E31" w:rsidRDefault="00FE6B4B" w:rsidP="00BF0E35">
            <w:pPr>
              <w:contextualSpacing/>
              <w:jc w:val="both"/>
              <w:rPr>
                <w:rFonts w:ascii="Arial" w:hAnsi="Arial" w:cs="Arial"/>
                <w:sz w:val="20"/>
                <w:szCs w:val="20"/>
              </w:rPr>
            </w:pPr>
            <w:r w:rsidRPr="00436E31">
              <w:rPr>
                <w:rFonts w:ascii="Arial" w:hAnsi="Arial" w:cs="Arial"/>
                <w:sz w:val="20"/>
                <w:szCs w:val="20"/>
              </w:rPr>
              <w:t xml:space="preserve">Általános (több hitelintézet számára elérhető) programokból származó források. </w:t>
            </w:r>
          </w:p>
          <w:p w14:paraId="2E47DCC4" w14:textId="4AF8C6F1" w:rsidR="00947CBA" w:rsidRPr="00436E31" w:rsidRDefault="000A43CF" w:rsidP="00BF0E35">
            <w:pPr>
              <w:pStyle w:val="Default"/>
              <w:spacing w:before="143" w:after="100"/>
              <w:jc w:val="both"/>
              <w:rPr>
                <w:rFonts w:ascii="Arial" w:hAnsi="Arial" w:cs="Arial"/>
                <w:sz w:val="20"/>
                <w:szCs w:val="20"/>
              </w:rPr>
            </w:pPr>
            <w:r>
              <w:rPr>
                <w:rFonts w:ascii="Arial" w:hAnsi="Arial" w:cs="Arial"/>
                <w:sz w:val="20"/>
                <w:szCs w:val="20"/>
              </w:rPr>
              <w:t>H</w:t>
            </w:r>
            <w:r w:rsidR="00947CBA" w:rsidRPr="00436E31">
              <w:rPr>
                <w:rFonts w:ascii="Arial" w:hAnsi="Arial" w:cs="Arial"/>
                <w:sz w:val="20"/>
                <w:szCs w:val="20"/>
              </w:rPr>
              <w:t xml:space="preserve">itelintézeteknek be kell jelenteniük a (központi bankoktól repóügylet útján) kapott biztosított nem lakossági fix lejáratú finanszírozás összegét. </w:t>
            </w:r>
          </w:p>
          <w:p w14:paraId="7C15183C" w14:textId="2B463B39" w:rsidR="00090FFA" w:rsidRDefault="00947CBA" w:rsidP="00BF0E35">
            <w:pPr>
              <w:contextualSpacing/>
              <w:jc w:val="both"/>
              <w:rPr>
                <w:rFonts w:ascii="Arial" w:hAnsi="Arial" w:cs="Arial"/>
                <w:sz w:val="20"/>
                <w:szCs w:val="20"/>
              </w:rPr>
            </w:pPr>
            <w:r w:rsidRPr="00436E31">
              <w:rPr>
                <w:rFonts w:ascii="Arial" w:hAnsi="Arial" w:cs="Arial"/>
                <w:sz w:val="20"/>
                <w:szCs w:val="20"/>
              </w:rPr>
              <w:t xml:space="preserve">A központi bank finanszírozási programjain, például az EKB hosszú lejáratú refinanszírozási műveletein (LTRO) – beleértve a célzott hosszabb lejáratú refinanszírozási műveleteket (TLTRO) – keresztül kapott finanszírozást ebben a sorban kell jelenteni, függetlenül a tranzakció jogi formájától, azaz attól, hogy repóügyletként vagy más módon hajtják-e végre. </w:t>
            </w:r>
          </w:p>
          <w:p w14:paraId="72996051" w14:textId="405AC65C" w:rsidR="00FE6B4B" w:rsidRPr="00436E31" w:rsidRDefault="00A5186E" w:rsidP="00BF0E35">
            <w:pPr>
              <w:pStyle w:val="Default"/>
              <w:spacing w:before="143" w:after="100"/>
              <w:jc w:val="both"/>
              <w:rPr>
                <w:rFonts w:ascii="Arial" w:hAnsi="Arial" w:cs="Arial"/>
                <w:sz w:val="20"/>
                <w:szCs w:val="20"/>
                <w:highlight w:val="red"/>
              </w:rPr>
            </w:pPr>
            <w:r w:rsidRPr="00436E31">
              <w:rPr>
                <w:rFonts w:ascii="Arial" w:hAnsi="Arial" w:cs="Arial"/>
                <w:sz w:val="20"/>
                <w:szCs w:val="20"/>
              </w:rPr>
              <w:t>A</w:t>
            </w:r>
            <w:r>
              <w:rPr>
                <w:rFonts w:ascii="Arial" w:hAnsi="Arial" w:cs="Arial"/>
                <w:sz w:val="20"/>
                <w:szCs w:val="20"/>
              </w:rPr>
              <w:t>zon tételek jelentendők, amelyek esetében</w:t>
            </w:r>
            <w:r w:rsidRPr="00436E31">
              <w:rPr>
                <w:rFonts w:ascii="Arial" w:hAnsi="Arial" w:cs="Arial"/>
                <w:sz w:val="20"/>
                <w:szCs w:val="20"/>
              </w:rPr>
              <w:t xml:space="preserve"> a kezdeti lejárat vagy az első lehívási dátum 1 év vagy annál több</w:t>
            </w:r>
            <w:r>
              <w:rPr>
                <w:rFonts w:ascii="Arial" w:hAnsi="Arial" w:cs="Arial"/>
                <w:sz w:val="20"/>
                <w:szCs w:val="20"/>
              </w:rPr>
              <w:t>.</w:t>
            </w:r>
          </w:p>
        </w:tc>
      </w:tr>
      <w:tr w:rsidR="00FE6B4B" w:rsidRPr="00191B6F" w14:paraId="50E313A0" w14:textId="77777777" w:rsidTr="000D301B">
        <w:trPr>
          <w:trHeight w:val="2891"/>
        </w:trPr>
        <w:tc>
          <w:tcPr>
            <w:tcW w:w="905" w:type="dxa"/>
            <w:shd w:val="clear" w:color="auto" w:fill="auto"/>
            <w:tcMar>
              <w:top w:w="85" w:type="dxa"/>
            </w:tcMar>
            <w:vAlign w:val="center"/>
          </w:tcPr>
          <w:p w14:paraId="0038DDB1"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lastRenderedPageBreak/>
              <w:t>020</w:t>
            </w:r>
          </w:p>
        </w:tc>
        <w:tc>
          <w:tcPr>
            <w:tcW w:w="1330" w:type="dxa"/>
            <w:vAlign w:val="center"/>
          </w:tcPr>
          <w:p w14:paraId="209D7D4F" w14:textId="2C5E350A" w:rsidR="00FE6B4B" w:rsidRPr="00191B6F" w:rsidRDefault="00FE6B4B" w:rsidP="00D16669">
            <w:pPr>
              <w:contextualSpacing/>
              <w:rPr>
                <w:rFonts w:ascii="Arial" w:hAnsi="Arial" w:cs="Arial"/>
                <w:sz w:val="20"/>
                <w:szCs w:val="20"/>
              </w:rPr>
            </w:pPr>
            <w:r>
              <w:rPr>
                <w:rFonts w:ascii="Arial" w:hAnsi="Arial" w:cs="Arial"/>
                <w:sz w:val="20"/>
                <w:szCs w:val="20"/>
              </w:rPr>
              <w:t>1.</w:t>
            </w:r>
            <w:r w:rsidR="00947CBA">
              <w:rPr>
                <w:rFonts w:ascii="Arial" w:hAnsi="Arial" w:cs="Arial"/>
                <w:sz w:val="20"/>
                <w:szCs w:val="20"/>
              </w:rPr>
              <w:t>3.</w:t>
            </w:r>
          </w:p>
        </w:tc>
        <w:tc>
          <w:tcPr>
            <w:tcW w:w="2976" w:type="dxa"/>
            <w:shd w:val="clear" w:color="auto" w:fill="auto"/>
            <w:tcMar>
              <w:top w:w="85" w:type="dxa"/>
            </w:tcMar>
            <w:vAlign w:val="center"/>
          </w:tcPr>
          <w:p w14:paraId="54DD12E7" w14:textId="3A183C18" w:rsidR="00FE6B4B" w:rsidRPr="00436E31" w:rsidRDefault="00FE6B4B" w:rsidP="00D25814">
            <w:pPr>
              <w:contextualSpacing/>
              <w:jc w:val="both"/>
              <w:rPr>
                <w:rFonts w:ascii="Arial" w:hAnsi="Arial" w:cs="Arial"/>
                <w:sz w:val="20"/>
                <w:szCs w:val="20"/>
              </w:rPr>
            </w:pPr>
            <w:r w:rsidRPr="00436E31">
              <w:rPr>
                <w:rFonts w:ascii="Arial" w:hAnsi="Arial" w:cs="Arial"/>
                <w:sz w:val="20"/>
                <w:szCs w:val="20"/>
              </w:rPr>
              <w:t xml:space="preserve">Nemzeti és nemzetközi hosszú távú </w:t>
            </w:r>
            <w:r w:rsidR="006B36F4">
              <w:rPr>
                <w:rFonts w:ascii="Arial" w:hAnsi="Arial" w:cs="Arial"/>
                <w:sz w:val="20"/>
                <w:szCs w:val="20"/>
              </w:rPr>
              <w:t>(1</w:t>
            </w:r>
            <w:r w:rsidR="00041D7B" w:rsidRPr="00436E31">
              <w:rPr>
                <w:rFonts w:ascii="Arial" w:hAnsi="Arial" w:cs="Arial"/>
                <w:sz w:val="20"/>
                <w:szCs w:val="20"/>
              </w:rPr>
              <w:t xml:space="preserve"> éves vagy annál hosszabb lejárattal rendelkező</w:t>
            </w:r>
            <w:r w:rsidR="006B36F4">
              <w:rPr>
                <w:rFonts w:ascii="Arial" w:hAnsi="Arial" w:cs="Arial"/>
                <w:sz w:val="20"/>
                <w:szCs w:val="20"/>
              </w:rPr>
              <w:t>)</w:t>
            </w:r>
            <w:r w:rsidR="00041D7B" w:rsidRPr="00436E31">
              <w:rPr>
                <w:rFonts w:ascii="Arial" w:hAnsi="Arial" w:cs="Arial"/>
                <w:sz w:val="20"/>
                <w:szCs w:val="20"/>
              </w:rPr>
              <w:t xml:space="preserve"> </w:t>
            </w:r>
            <w:r w:rsidR="001F497A" w:rsidRPr="001F497A">
              <w:rPr>
                <w:rFonts w:ascii="Arial" w:hAnsi="Arial" w:cs="Arial"/>
                <w:sz w:val="20"/>
                <w:szCs w:val="20"/>
              </w:rPr>
              <w:t>hitelkínálat ösztönzési rendszer a reálgazdaság számára</w:t>
            </w:r>
          </w:p>
        </w:tc>
        <w:tc>
          <w:tcPr>
            <w:tcW w:w="4253" w:type="dxa"/>
            <w:shd w:val="clear" w:color="auto" w:fill="auto"/>
            <w:tcMar>
              <w:top w:w="85" w:type="dxa"/>
            </w:tcMar>
            <w:vAlign w:val="center"/>
          </w:tcPr>
          <w:p w14:paraId="74E6AD6B" w14:textId="77777777" w:rsidR="000D301B" w:rsidRDefault="00FE6B4B" w:rsidP="00D25814">
            <w:pPr>
              <w:contextualSpacing/>
              <w:jc w:val="both"/>
              <w:rPr>
                <w:rFonts w:ascii="Arial" w:hAnsi="Arial" w:cs="Arial"/>
                <w:sz w:val="20"/>
                <w:szCs w:val="20"/>
              </w:rPr>
            </w:pPr>
            <w:r w:rsidRPr="00436E31">
              <w:rPr>
                <w:rFonts w:ascii="Arial" w:hAnsi="Arial" w:cs="Arial"/>
                <w:sz w:val="20"/>
                <w:szCs w:val="20"/>
              </w:rPr>
              <w:t>Általános (több hitelintézet számára elérhető) programokból származó források. Ezen a soron azokat a fedezetlen forrásokat kell feltüntetni, melyekre nemzeti vagy nemzetközi szervezet garanciát vállalt. Pl. UK HMT Credit Guarantee Scheme.</w:t>
            </w:r>
          </w:p>
          <w:p w14:paraId="402B1C22" w14:textId="23C5C36B" w:rsidR="000E3FF8" w:rsidRPr="00436E31" w:rsidRDefault="00A5186E" w:rsidP="00D25814">
            <w:pPr>
              <w:contextualSpacing/>
              <w:jc w:val="both"/>
              <w:rPr>
                <w:rFonts w:ascii="Arial" w:hAnsi="Arial" w:cs="Arial"/>
                <w:sz w:val="20"/>
                <w:szCs w:val="20"/>
              </w:rPr>
            </w:pPr>
            <w:r>
              <w:rPr>
                <w:rFonts w:ascii="Arial" w:hAnsi="Arial" w:cs="Arial"/>
                <w:sz w:val="20"/>
                <w:szCs w:val="20"/>
              </w:rPr>
              <w:t>Azon tételek jelentendők, amelyek esetében</w:t>
            </w:r>
            <w:r w:rsidRPr="004E74F2">
              <w:rPr>
                <w:rFonts w:ascii="Arial" w:hAnsi="Arial" w:cs="Arial"/>
                <w:sz w:val="20"/>
                <w:szCs w:val="20"/>
              </w:rPr>
              <w:t xml:space="preserve"> a kezdeti lejárat vagy az első lehívási dátum 1 évnél több, vagy a</w:t>
            </w:r>
            <w:r>
              <w:rPr>
                <w:rFonts w:ascii="Arial" w:hAnsi="Arial" w:cs="Arial"/>
                <w:sz w:val="20"/>
                <w:szCs w:val="20"/>
              </w:rPr>
              <w:t>z</w:t>
            </w:r>
            <w:r w:rsidRPr="004E74F2">
              <w:rPr>
                <w:rFonts w:ascii="Arial" w:hAnsi="Arial" w:cs="Arial"/>
                <w:sz w:val="20"/>
                <w:szCs w:val="20"/>
              </w:rPr>
              <w:t xml:space="preserve"> </w:t>
            </w:r>
            <w:r>
              <w:rPr>
                <w:rFonts w:ascii="Arial" w:hAnsi="Arial" w:cs="Arial"/>
                <w:sz w:val="20"/>
                <w:szCs w:val="20"/>
              </w:rPr>
              <w:t xml:space="preserve">állami szervek </w:t>
            </w:r>
            <w:r w:rsidRPr="004E74F2">
              <w:rPr>
                <w:rFonts w:ascii="Arial" w:hAnsi="Arial" w:cs="Arial"/>
                <w:sz w:val="20"/>
                <w:szCs w:val="20"/>
              </w:rPr>
              <w:t>által felajánlott garancia megújítható jellege a garanciára vonatkozóan 1 éves vagy nagyobb implicit tényleges futamidőt enged.</w:t>
            </w:r>
            <w:r w:rsidR="000E3FF8" w:rsidRPr="004E74F2">
              <w:rPr>
                <w:rFonts w:ascii="Arial" w:hAnsi="Arial" w:cs="Arial"/>
                <w:sz w:val="20"/>
                <w:szCs w:val="20"/>
              </w:rPr>
              <w:t xml:space="preserve"> </w:t>
            </w:r>
          </w:p>
        </w:tc>
      </w:tr>
      <w:tr w:rsidR="00FE6B4B" w:rsidRPr="00191B6F" w14:paraId="1FC60A90" w14:textId="77777777" w:rsidTr="00960BA9">
        <w:tc>
          <w:tcPr>
            <w:tcW w:w="905" w:type="dxa"/>
            <w:shd w:val="clear" w:color="auto" w:fill="auto"/>
            <w:tcMar>
              <w:top w:w="85" w:type="dxa"/>
            </w:tcMar>
            <w:vAlign w:val="center"/>
          </w:tcPr>
          <w:p w14:paraId="3274C1B5"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030</w:t>
            </w:r>
          </w:p>
        </w:tc>
        <w:tc>
          <w:tcPr>
            <w:tcW w:w="1330" w:type="dxa"/>
            <w:vAlign w:val="center"/>
          </w:tcPr>
          <w:p w14:paraId="44381BC3" w14:textId="4B5B3CB8" w:rsidR="00FE6B4B" w:rsidRPr="00191B6F" w:rsidRDefault="00FE6B4B" w:rsidP="00D16669">
            <w:pPr>
              <w:contextualSpacing/>
              <w:rPr>
                <w:rFonts w:ascii="Arial" w:hAnsi="Arial" w:cs="Arial"/>
                <w:sz w:val="20"/>
                <w:szCs w:val="20"/>
              </w:rPr>
            </w:pPr>
            <w:r>
              <w:rPr>
                <w:rFonts w:ascii="Arial" w:hAnsi="Arial" w:cs="Arial"/>
                <w:sz w:val="20"/>
                <w:szCs w:val="20"/>
              </w:rPr>
              <w:t>1.</w:t>
            </w:r>
            <w:r w:rsidR="00041D7B">
              <w:rPr>
                <w:rFonts w:ascii="Arial" w:hAnsi="Arial" w:cs="Arial"/>
                <w:sz w:val="20"/>
                <w:szCs w:val="20"/>
              </w:rPr>
              <w:t>4.</w:t>
            </w:r>
          </w:p>
        </w:tc>
        <w:tc>
          <w:tcPr>
            <w:tcW w:w="2976" w:type="dxa"/>
            <w:shd w:val="clear" w:color="auto" w:fill="auto"/>
            <w:tcMar>
              <w:top w:w="85" w:type="dxa"/>
            </w:tcMar>
            <w:vAlign w:val="center"/>
          </w:tcPr>
          <w:p w14:paraId="378DEDF8" w14:textId="7BA92DBE" w:rsidR="00FE6B4B" w:rsidRPr="00436E31" w:rsidRDefault="00FE6B4B" w:rsidP="00D25814">
            <w:pPr>
              <w:contextualSpacing/>
              <w:jc w:val="both"/>
              <w:rPr>
                <w:rFonts w:ascii="Arial" w:hAnsi="Arial" w:cs="Arial"/>
                <w:sz w:val="20"/>
                <w:szCs w:val="20"/>
              </w:rPr>
            </w:pPr>
            <w:r w:rsidRPr="00436E31">
              <w:rPr>
                <w:rFonts w:ascii="Arial" w:hAnsi="Arial" w:cs="Arial"/>
                <w:sz w:val="20"/>
                <w:szCs w:val="20"/>
              </w:rPr>
              <w:t>Nemzeti és nemzetközi</w:t>
            </w:r>
            <w:r w:rsidRPr="004E74F2">
              <w:rPr>
                <w:rFonts w:ascii="Arial" w:hAnsi="Arial" w:cs="Arial"/>
                <w:sz w:val="20"/>
                <w:szCs w:val="20"/>
              </w:rPr>
              <w:t xml:space="preserve"> </w:t>
            </w:r>
            <w:r w:rsidRPr="00436E31">
              <w:rPr>
                <w:rFonts w:ascii="Arial" w:hAnsi="Arial" w:cs="Arial"/>
                <w:sz w:val="20"/>
                <w:szCs w:val="20"/>
              </w:rPr>
              <w:t xml:space="preserve">hosszú távú </w:t>
            </w:r>
            <w:r w:rsidR="00041D7B" w:rsidRPr="00436E31">
              <w:rPr>
                <w:rFonts w:ascii="Arial" w:hAnsi="Arial" w:cs="Arial"/>
                <w:sz w:val="20"/>
                <w:szCs w:val="20"/>
              </w:rPr>
              <w:t>(</w:t>
            </w:r>
            <w:r w:rsidR="006B36F4">
              <w:rPr>
                <w:rFonts w:ascii="Arial" w:hAnsi="Arial" w:cs="Arial"/>
                <w:sz w:val="20"/>
                <w:szCs w:val="20"/>
              </w:rPr>
              <w:t>1</w:t>
            </w:r>
            <w:r w:rsidR="00041D7B" w:rsidRPr="00436E31">
              <w:rPr>
                <w:rFonts w:ascii="Arial" w:hAnsi="Arial" w:cs="Arial"/>
                <w:sz w:val="20"/>
                <w:szCs w:val="20"/>
              </w:rPr>
              <w:t xml:space="preserve"> éves vagy annál hosszabb lejárattal rendelkező) </w:t>
            </w:r>
            <w:r w:rsidRPr="00436E31">
              <w:rPr>
                <w:rFonts w:ascii="Arial" w:hAnsi="Arial" w:cs="Arial"/>
                <w:sz w:val="20"/>
                <w:szCs w:val="20"/>
              </w:rPr>
              <w:t>hitel</w:t>
            </w:r>
            <w:r w:rsidR="00041D7B" w:rsidRPr="00436E31">
              <w:rPr>
                <w:rFonts w:ascii="Arial" w:hAnsi="Arial" w:cs="Arial"/>
                <w:sz w:val="20"/>
                <w:szCs w:val="20"/>
              </w:rPr>
              <w:t xml:space="preserve">kínálat </w:t>
            </w:r>
            <w:r w:rsidRPr="00436E31">
              <w:rPr>
                <w:rFonts w:ascii="Arial" w:hAnsi="Arial" w:cs="Arial"/>
                <w:sz w:val="20"/>
                <w:szCs w:val="20"/>
              </w:rPr>
              <w:t>ösztönz</w:t>
            </w:r>
            <w:r w:rsidR="00041D7B" w:rsidRPr="00436E31">
              <w:rPr>
                <w:rFonts w:ascii="Arial" w:hAnsi="Arial" w:cs="Arial"/>
                <w:sz w:val="20"/>
                <w:szCs w:val="20"/>
              </w:rPr>
              <w:t>ési rendszer a reálgaz</w:t>
            </w:r>
            <w:r w:rsidR="000D301B">
              <w:rPr>
                <w:rFonts w:ascii="Arial" w:hAnsi="Arial" w:cs="Arial"/>
                <w:sz w:val="20"/>
                <w:szCs w:val="20"/>
              </w:rPr>
              <w:t>d</w:t>
            </w:r>
            <w:r w:rsidR="00041D7B" w:rsidRPr="00436E31">
              <w:rPr>
                <w:rFonts w:ascii="Arial" w:hAnsi="Arial" w:cs="Arial"/>
                <w:sz w:val="20"/>
                <w:szCs w:val="20"/>
              </w:rPr>
              <w:t xml:space="preserve">aság számára </w:t>
            </w:r>
            <w:r w:rsidR="004C78D9">
              <w:rPr>
                <w:rFonts w:ascii="Arial" w:hAnsi="Arial" w:cs="Arial"/>
                <w:sz w:val="20"/>
                <w:szCs w:val="20"/>
              </w:rPr>
              <w:t>– adósság kibocsátási támogatás</w:t>
            </w:r>
          </w:p>
        </w:tc>
        <w:tc>
          <w:tcPr>
            <w:tcW w:w="4253" w:type="dxa"/>
            <w:shd w:val="clear" w:color="auto" w:fill="auto"/>
            <w:tcMar>
              <w:top w:w="85" w:type="dxa"/>
            </w:tcMar>
            <w:vAlign w:val="center"/>
          </w:tcPr>
          <w:p w14:paraId="14544F33" w14:textId="71B4EE84" w:rsidR="00962D41" w:rsidRDefault="00FE6B4B" w:rsidP="00D25814">
            <w:pPr>
              <w:contextualSpacing/>
              <w:jc w:val="both"/>
              <w:rPr>
                <w:rFonts w:ascii="Arial" w:hAnsi="Arial" w:cs="Arial"/>
                <w:sz w:val="20"/>
                <w:szCs w:val="20"/>
              </w:rPr>
            </w:pPr>
            <w:r w:rsidRPr="00436E31">
              <w:rPr>
                <w:rFonts w:ascii="Arial" w:hAnsi="Arial" w:cs="Arial"/>
                <w:sz w:val="20"/>
                <w:szCs w:val="20"/>
              </w:rPr>
              <w:t xml:space="preserve">Általános (több hitelintézet számára elérhető) programokból származó források. Ezen a soron azokat a </w:t>
            </w:r>
            <w:r w:rsidR="003F2F54" w:rsidRPr="002760F6">
              <w:rPr>
                <w:rFonts w:ascii="Arial" w:hAnsi="Arial" w:cs="Arial"/>
                <w:sz w:val="20"/>
                <w:szCs w:val="20"/>
              </w:rPr>
              <w:t xml:space="preserve">kibocsátott </w:t>
            </w:r>
            <w:r w:rsidR="004F3BB5" w:rsidRPr="002760F6">
              <w:rPr>
                <w:rFonts w:ascii="Arial" w:hAnsi="Arial" w:cs="Arial"/>
                <w:sz w:val="20"/>
                <w:szCs w:val="20"/>
              </w:rPr>
              <w:t xml:space="preserve">hitelviszonyt megtestesítő értékpapírokat </w:t>
            </w:r>
            <w:r w:rsidRPr="002760F6">
              <w:rPr>
                <w:rFonts w:ascii="Arial" w:hAnsi="Arial" w:cs="Arial"/>
                <w:sz w:val="20"/>
                <w:szCs w:val="20"/>
              </w:rPr>
              <w:t>kell jelenteni (fedezettől függetlenül), melyek valamilyen mennyiségi vagy árazási támogatást tartalm</w:t>
            </w:r>
            <w:r w:rsidRPr="00534340">
              <w:rPr>
                <w:rFonts w:ascii="Arial" w:hAnsi="Arial" w:cs="Arial"/>
                <w:sz w:val="20"/>
                <w:szCs w:val="20"/>
              </w:rPr>
              <w:t>aznak, és melyet a reálgazdaság hitelezése céljából k</w:t>
            </w:r>
            <w:r w:rsidRPr="00436E31">
              <w:rPr>
                <w:rFonts w:ascii="Arial" w:hAnsi="Arial" w:cs="Arial"/>
                <w:sz w:val="20"/>
                <w:szCs w:val="20"/>
              </w:rPr>
              <w:t>apott a hitelintézet</w:t>
            </w:r>
            <w:r w:rsidR="00097A4F" w:rsidRPr="00436E31">
              <w:rPr>
                <w:rFonts w:ascii="Arial" w:hAnsi="Arial" w:cs="Arial"/>
                <w:sz w:val="20"/>
                <w:szCs w:val="20"/>
              </w:rPr>
              <w:t>.</w:t>
            </w:r>
          </w:p>
          <w:p w14:paraId="5AEF0CAC" w14:textId="4E4D04F1" w:rsidR="00FE6B4B" w:rsidRPr="00436E31" w:rsidRDefault="004E74F2" w:rsidP="00D25814">
            <w:pPr>
              <w:contextualSpacing/>
              <w:jc w:val="both"/>
              <w:rPr>
                <w:rFonts w:ascii="Arial" w:hAnsi="Arial" w:cs="Arial"/>
                <w:sz w:val="20"/>
                <w:szCs w:val="20"/>
              </w:rPr>
            </w:pPr>
            <w:r w:rsidRPr="00EC675D">
              <w:rPr>
                <w:rFonts w:ascii="Arial" w:hAnsi="Arial" w:cs="Arial"/>
                <w:color w:val="000000"/>
                <w:sz w:val="20"/>
                <w:szCs w:val="20"/>
              </w:rPr>
              <w:t>A</w:t>
            </w:r>
            <w:r w:rsidR="006B36F4">
              <w:rPr>
                <w:rFonts w:ascii="Arial" w:hAnsi="Arial" w:cs="Arial"/>
                <w:color w:val="000000"/>
                <w:sz w:val="20"/>
                <w:szCs w:val="20"/>
              </w:rPr>
              <w:t>zon</w:t>
            </w:r>
            <w:r w:rsidRPr="00EC675D">
              <w:rPr>
                <w:rFonts w:ascii="Arial" w:hAnsi="Arial" w:cs="Arial"/>
                <w:color w:val="000000"/>
                <w:sz w:val="20"/>
                <w:szCs w:val="20"/>
              </w:rPr>
              <w:t xml:space="preserve"> </w:t>
            </w:r>
            <w:r w:rsidR="006B36F4">
              <w:rPr>
                <w:rFonts w:ascii="Arial" w:hAnsi="Arial" w:cs="Arial"/>
                <w:color w:val="000000"/>
                <w:sz w:val="20"/>
                <w:szCs w:val="20"/>
              </w:rPr>
              <w:t xml:space="preserve">tételek jelentendők, amelyek esetében </w:t>
            </w:r>
            <w:r w:rsidRPr="00EC675D">
              <w:rPr>
                <w:rFonts w:ascii="Arial" w:hAnsi="Arial" w:cs="Arial"/>
                <w:color w:val="000000"/>
                <w:sz w:val="20"/>
                <w:szCs w:val="20"/>
              </w:rPr>
              <w:t>a kezdeti lejárat vagy az első lehívási dátum 1 évnél több, vagy a hatóságok által felajánlott struktúra megújítható jellege 1 éves vagy nagyobb tényleges lejáratú implicit ösztönzőt enged.</w:t>
            </w:r>
            <w:r w:rsidR="003F2F54" w:rsidRPr="00436E31">
              <w:rPr>
                <w:rFonts w:ascii="Arial" w:hAnsi="Arial" w:cs="Arial"/>
                <w:sz w:val="20"/>
                <w:szCs w:val="20"/>
              </w:rPr>
              <w:t xml:space="preserve"> </w:t>
            </w:r>
          </w:p>
        </w:tc>
      </w:tr>
      <w:tr w:rsidR="00041D7B" w:rsidRPr="00191B6F" w14:paraId="14A98ED0" w14:textId="77777777" w:rsidTr="00960BA9">
        <w:tc>
          <w:tcPr>
            <w:tcW w:w="905" w:type="dxa"/>
            <w:shd w:val="clear" w:color="auto" w:fill="auto"/>
            <w:tcMar>
              <w:top w:w="85" w:type="dxa"/>
            </w:tcMar>
            <w:vAlign w:val="center"/>
          </w:tcPr>
          <w:p w14:paraId="2FABDC9A" w14:textId="14F8276E" w:rsidR="00041D7B" w:rsidRPr="00191B6F" w:rsidRDefault="00041D7B" w:rsidP="00D16669">
            <w:pPr>
              <w:contextualSpacing/>
              <w:rPr>
                <w:rFonts w:ascii="Arial" w:hAnsi="Arial" w:cs="Arial"/>
                <w:sz w:val="20"/>
                <w:szCs w:val="20"/>
              </w:rPr>
            </w:pPr>
            <w:r>
              <w:rPr>
                <w:rFonts w:ascii="Arial" w:hAnsi="Arial" w:cs="Arial"/>
                <w:sz w:val="20"/>
                <w:szCs w:val="20"/>
              </w:rPr>
              <w:t>040</w:t>
            </w:r>
          </w:p>
        </w:tc>
        <w:tc>
          <w:tcPr>
            <w:tcW w:w="1330" w:type="dxa"/>
            <w:vAlign w:val="center"/>
          </w:tcPr>
          <w:p w14:paraId="6F3ADDAE" w14:textId="7429C980" w:rsidR="00041D7B" w:rsidRDefault="00041D7B" w:rsidP="00D16669">
            <w:pPr>
              <w:contextualSpacing/>
              <w:rPr>
                <w:rFonts w:ascii="Arial" w:hAnsi="Arial" w:cs="Arial"/>
                <w:sz w:val="20"/>
                <w:szCs w:val="20"/>
              </w:rPr>
            </w:pPr>
            <w:r>
              <w:rPr>
                <w:rFonts w:ascii="Arial" w:hAnsi="Arial" w:cs="Arial"/>
                <w:sz w:val="20"/>
                <w:szCs w:val="20"/>
              </w:rPr>
              <w:t>1.5.</w:t>
            </w:r>
          </w:p>
        </w:tc>
        <w:tc>
          <w:tcPr>
            <w:tcW w:w="2976" w:type="dxa"/>
            <w:shd w:val="clear" w:color="auto" w:fill="auto"/>
            <w:tcMar>
              <w:top w:w="85" w:type="dxa"/>
            </w:tcMar>
            <w:vAlign w:val="center"/>
          </w:tcPr>
          <w:p w14:paraId="40573EF7" w14:textId="519D5BD7" w:rsidR="00041D7B" w:rsidRPr="00534340" w:rsidRDefault="00041D7B" w:rsidP="00D25814">
            <w:pPr>
              <w:contextualSpacing/>
              <w:jc w:val="both"/>
              <w:rPr>
                <w:rFonts w:ascii="Arial" w:hAnsi="Arial" w:cs="Arial"/>
                <w:sz w:val="20"/>
                <w:szCs w:val="20"/>
              </w:rPr>
            </w:pPr>
            <w:r w:rsidRPr="002760F6">
              <w:rPr>
                <w:rFonts w:ascii="Arial" w:hAnsi="Arial" w:cs="Arial"/>
                <w:sz w:val="20"/>
                <w:szCs w:val="20"/>
              </w:rPr>
              <w:t>Nemzeti és nemzetközi</w:t>
            </w:r>
            <w:r w:rsidR="00D376AB">
              <w:rPr>
                <w:rFonts w:ascii="Arial" w:hAnsi="Arial" w:cs="Arial"/>
                <w:sz w:val="20"/>
                <w:szCs w:val="20"/>
              </w:rPr>
              <w:t>,</w:t>
            </w:r>
            <w:r w:rsidRPr="002760F6">
              <w:rPr>
                <w:rFonts w:ascii="Arial" w:hAnsi="Arial" w:cs="Arial"/>
                <w:sz w:val="20"/>
                <w:szCs w:val="20"/>
              </w:rPr>
              <w:t xml:space="preserve"> </w:t>
            </w:r>
            <w:r w:rsidR="006B36F4">
              <w:rPr>
                <w:rFonts w:ascii="Arial" w:hAnsi="Arial" w:cs="Arial"/>
                <w:sz w:val="20"/>
                <w:szCs w:val="20"/>
              </w:rPr>
              <w:t>1</w:t>
            </w:r>
            <w:r w:rsidRPr="002760F6">
              <w:rPr>
                <w:rFonts w:ascii="Arial" w:hAnsi="Arial" w:cs="Arial"/>
                <w:sz w:val="20"/>
                <w:szCs w:val="20"/>
              </w:rPr>
              <w:t xml:space="preserve"> éves vagy annál hosszabb lejárattal rendelkező hitelkínálati ösztönzési rendszer a reálgazdaság számára – nyújtott hitelek</w:t>
            </w:r>
          </w:p>
        </w:tc>
        <w:tc>
          <w:tcPr>
            <w:tcW w:w="4253" w:type="dxa"/>
            <w:shd w:val="clear" w:color="auto" w:fill="auto"/>
            <w:tcMar>
              <w:top w:w="85" w:type="dxa"/>
            </w:tcMar>
            <w:vAlign w:val="center"/>
          </w:tcPr>
          <w:p w14:paraId="1022F5D9" w14:textId="77777777" w:rsidR="00FC5BD8" w:rsidRDefault="00041D7B" w:rsidP="00D25814">
            <w:pPr>
              <w:pStyle w:val="Default"/>
              <w:jc w:val="both"/>
              <w:rPr>
                <w:rFonts w:ascii="Arial" w:hAnsi="Arial" w:cs="Arial"/>
                <w:sz w:val="20"/>
                <w:szCs w:val="20"/>
              </w:rPr>
            </w:pPr>
            <w:r w:rsidRPr="00534340">
              <w:rPr>
                <w:rFonts w:ascii="Arial" w:hAnsi="Arial" w:cs="Arial"/>
                <w:sz w:val="20"/>
                <w:szCs w:val="20"/>
              </w:rPr>
              <w:t xml:space="preserve">Általános (több hitelintézet számára elérhető) programokból származó források. </w:t>
            </w:r>
            <w:r w:rsidRPr="002760F6">
              <w:rPr>
                <w:rFonts w:ascii="Arial" w:hAnsi="Arial" w:cs="Arial"/>
                <w:sz w:val="20"/>
                <w:szCs w:val="20"/>
              </w:rPr>
              <w:t xml:space="preserve">A hitelintézeteknek jelenteniük </w:t>
            </w:r>
            <w:r w:rsidR="002760F6">
              <w:rPr>
                <w:rFonts w:ascii="Arial" w:hAnsi="Arial" w:cs="Arial"/>
                <w:sz w:val="20"/>
                <w:szCs w:val="20"/>
              </w:rPr>
              <w:t xml:space="preserve">kell </w:t>
            </w:r>
            <w:r w:rsidRPr="002760F6">
              <w:rPr>
                <w:rFonts w:ascii="Arial" w:hAnsi="Arial" w:cs="Arial"/>
                <w:sz w:val="20"/>
                <w:szCs w:val="20"/>
              </w:rPr>
              <w:t xml:space="preserve">a közszektortól a reálgazdaság finanszírozása céljából kapott közvetlen finanszírozás összegét, pl. az állami tulajdonban lévő bankok vagy más állami intézmények által nyújtott kölcsönöket, hiteleket, amelyeket háztartásoknak vagy nem pénzügyi vállalatoknak nyújtandó hitelekre kell felhasználni. </w:t>
            </w:r>
          </w:p>
          <w:p w14:paraId="6E177327" w14:textId="7BC36D09" w:rsidR="00041D7B" w:rsidRPr="002760F6" w:rsidRDefault="00041D7B" w:rsidP="00D25814">
            <w:pPr>
              <w:pStyle w:val="Default"/>
              <w:jc w:val="both"/>
              <w:rPr>
                <w:rFonts w:ascii="Arial" w:hAnsi="Arial" w:cs="Arial"/>
                <w:sz w:val="20"/>
                <w:szCs w:val="20"/>
              </w:rPr>
            </w:pPr>
            <w:r w:rsidRPr="002760F6">
              <w:rPr>
                <w:rFonts w:ascii="Arial" w:hAnsi="Arial" w:cs="Arial"/>
                <w:sz w:val="20"/>
                <w:szCs w:val="20"/>
              </w:rPr>
              <w:t>A</w:t>
            </w:r>
            <w:r w:rsidR="006B36F4">
              <w:rPr>
                <w:rFonts w:ascii="Arial" w:hAnsi="Arial" w:cs="Arial"/>
                <w:sz w:val="20"/>
                <w:szCs w:val="20"/>
              </w:rPr>
              <w:t>zon</w:t>
            </w:r>
            <w:r w:rsidR="00FC5BD8" w:rsidRPr="00EC675D">
              <w:rPr>
                <w:rFonts w:ascii="Arial" w:hAnsi="Arial" w:cs="Arial"/>
                <w:sz w:val="20"/>
                <w:szCs w:val="20"/>
              </w:rPr>
              <w:t xml:space="preserve"> </w:t>
            </w:r>
            <w:r w:rsidR="006B36F4">
              <w:rPr>
                <w:rFonts w:ascii="Arial" w:hAnsi="Arial" w:cs="Arial"/>
                <w:sz w:val="20"/>
                <w:szCs w:val="20"/>
              </w:rPr>
              <w:t xml:space="preserve">tételek jelentendők, amelyek esetében </w:t>
            </w:r>
            <w:r w:rsidRPr="002760F6">
              <w:rPr>
                <w:rFonts w:ascii="Arial" w:hAnsi="Arial" w:cs="Arial"/>
                <w:sz w:val="20"/>
                <w:szCs w:val="20"/>
              </w:rPr>
              <w:t xml:space="preserve">a kezdeti lejárat 1 év vagy annál több, vagy a hatóságok által nyújtott kölcsön megújítható jellege 1 évnél nagyobb tényleges lejáratot enged. </w:t>
            </w:r>
          </w:p>
        </w:tc>
      </w:tr>
    </w:tbl>
    <w:p w14:paraId="0B8FF541" w14:textId="77777777" w:rsidR="00FE6B4B" w:rsidRPr="001B098C" w:rsidRDefault="00FE6B4B" w:rsidP="00FE6B4B">
      <w:pPr>
        <w:rPr>
          <w:rFonts w:ascii="Arial" w:hAnsi="Arial" w:cs="Arial"/>
          <w:sz w:val="20"/>
          <w:szCs w:val="20"/>
        </w:rPr>
      </w:pPr>
    </w:p>
    <w:p w14:paraId="2CC08845" w14:textId="77777777" w:rsidR="00FE6B4B" w:rsidRDefault="00FE6B4B" w:rsidP="00FE6B4B">
      <w:pPr>
        <w:rPr>
          <w:rFonts w:ascii="Arial" w:hAnsi="Arial" w:cs="Arial"/>
          <w:b/>
          <w:sz w:val="20"/>
          <w:szCs w:val="20"/>
        </w:rPr>
      </w:pPr>
      <w:r w:rsidRPr="00352BD3">
        <w:rPr>
          <w:rFonts w:ascii="Arial" w:hAnsi="Arial" w:cs="Arial"/>
          <w:b/>
          <w:sz w:val="20"/>
          <w:szCs w:val="20"/>
        </w:rPr>
        <w:t>A tábla oszlopai</w:t>
      </w:r>
    </w:p>
    <w:p w14:paraId="713887BF" w14:textId="77777777" w:rsidR="00FE6B4B" w:rsidRPr="00352BD3" w:rsidRDefault="00FE6B4B" w:rsidP="00FE6B4B">
      <w:pPr>
        <w:rPr>
          <w:rFonts w:ascii="Arial" w:hAnsi="Arial" w:cs="Arial"/>
          <w:b/>
          <w:sz w:val="20"/>
          <w:szCs w:val="20"/>
        </w:rPr>
      </w:pPr>
    </w:p>
    <w:tbl>
      <w:tblPr>
        <w:tblW w:w="9464" w:type="dxa"/>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Look w:val="04A0" w:firstRow="1" w:lastRow="0" w:firstColumn="1" w:lastColumn="0" w:noHBand="0" w:noVBand="1"/>
      </w:tblPr>
      <w:tblGrid>
        <w:gridCol w:w="905"/>
        <w:gridCol w:w="3456"/>
        <w:gridCol w:w="5103"/>
      </w:tblGrid>
      <w:tr w:rsidR="00FE6B4B" w:rsidRPr="00191B6F" w14:paraId="26743E7F" w14:textId="77777777" w:rsidTr="00960BA9">
        <w:tc>
          <w:tcPr>
            <w:tcW w:w="905" w:type="dxa"/>
            <w:shd w:val="clear" w:color="auto" w:fill="auto"/>
            <w:tcMar>
              <w:top w:w="85" w:type="dxa"/>
            </w:tcMar>
            <w:vAlign w:val="center"/>
          </w:tcPr>
          <w:p w14:paraId="20BC8B92" w14:textId="77777777" w:rsidR="00FE6B4B" w:rsidRPr="0091468E" w:rsidRDefault="00FE6B4B" w:rsidP="00D16669">
            <w:pPr>
              <w:contextualSpacing/>
              <w:jc w:val="center"/>
              <w:rPr>
                <w:rFonts w:ascii="Arial" w:hAnsi="Arial" w:cs="Arial"/>
                <w:b/>
                <w:sz w:val="20"/>
                <w:szCs w:val="20"/>
              </w:rPr>
            </w:pPr>
            <w:r w:rsidRPr="0091468E">
              <w:rPr>
                <w:rFonts w:ascii="Arial" w:hAnsi="Arial" w:cs="Arial"/>
                <w:b/>
                <w:sz w:val="20"/>
                <w:szCs w:val="20"/>
              </w:rPr>
              <w:t>Oszlop</w:t>
            </w:r>
          </w:p>
        </w:tc>
        <w:tc>
          <w:tcPr>
            <w:tcW w:w="3456" w:type="dxa"/>
            <w:shd w:val="clear" w:color="auto" w:fill="auto"/>
            <w:tcMar>
              <w:top w:w="85" w:type="dxa"/>
            </w:tcMar>
            <w:vAlign w:val="center"/>
          </w:tcPr>
          <w:p w14:paraId="7C432A24" w14:textId="77777777" w:rsidR="00FE6B4B" w:rsidRPr="0091468E" w:rsidRDefault="00FE6B4B" w:rsidP="00D16669">
            <w:pPr>
              <w:contextualSpacing/>
              <w:jc w:val="center"/>
              <w:rPr>
                <w:rFonts w:ascii="Arial" w:hAnsi="Arial" w:cs="Arial"/>
                <w:b/>
                <w:sz w:val="20"/>
                <w:szCs w:val="20"/>
              </w:rPr>
            </w:pPr>
            <w:r w:rsidRPr="0091468E">
              <w:rPr>
                <w:rFonts w:ascii="Arial" w:hAnsi="Arial" w:cs="Arial"/>
                <w:b/>
                <w:sz w:val="20"/>
                <w:szCs w:val="20"/>
              </w:rPr>
              <w:t>Megnevezés</w:t>
            </w:r>
          </w:p>
        </w:tc>
        <w:tc>
          <w:tcPr>
            <w:tcW w:w="5103" w:type="dxa"/>
            <w:shd w:val="clear" w:color="auto" w:fill="auto"/>
            <w:tcMar>
              <w:top w:w="85" w:type="dxa"/>
            </w:tcMar>
            <w:vAlign w:val="center"/>
          </w:tcPr>
          <w:p w14:paraId="37B49992" w14:textId="77777777" w:rsidR="00FE6B4B" w:rsidRPr="00191B6F" w:rsidRDefault="00FE6B4B" w:rsidP="00D16669">
            <w:pPr>
              <w:contextualSpacing/>
              <w:jc w:val="center"/>
              <w:rPr>
                <w:rFonts w:ascii="Arial" w:hAnsi="Arial" w:cs="Arial"/>
                <w:sz w:val="20"/>
                <w:szCs w:val="20"/>
              </w:rPr>
            </w:pPr>
            <w:r w:rsidRPr="00191B6F">
              <w:rPr>
                <w:rFonts w:ascii="Arial" w:hAnsi="Arial" w:cs="Arial"/>
                <w:b/>
                <w:sz w:val="20"/>
                <w:szCs w:val="20"/>
              </w:rPr>
              <w:t>Hivatkozások jogszabályokra és megjegyzések</w:t>
            </w:r>
          </w:p>
        </w:tc>
      </w:tr>
      <w:tr w:rsidR="00FE6B4B" w:rsidRPr="00191B6F" w14:paraId="5449DEC8" w14:textId="77777777" w:rsidTr="00960BA9">
        <w:tc>
          <w:tcPr>
            <w:tcW w:w="905" w:type="dxa"/>
            <w:shd w:val="clear" w:color="auto" w:fill="auto"/>
            <w:tcMar>
              <w:top w:w="85" w:type="dxa"/>
            </w:tcMar>
            <w:vAlign w:val="center"/>
          </w:tcPr>
          <w:p w14:paraId="548E5A6A"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010</w:t>
            </w:r>
          </w:p>
        </w:tc>
        <w:tc>
          <w:tcPr>
            <w:tcW w:w="3456" w:type="dxa"/>
            <w:shd w:val="clear" w:color="auto" w:fill="auto"/>
            <w:tcMar>
              <w:top w:w="85" w:type="dxa"/>
            </w:tcMar>
            <w:vAlign w:val="center"/>
          </w:tcPr>
          <w:p w14:paraId="742F6AE6"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Aktuális – tény adatok</w:t>
            </w:r>
          </w:p>
        </w:tc>
        <w:tc>
          <w:tcPr>
            <w:tcW w:w="5103" w:type="dxa"/>
            <w:shd w:val="clear" w:color="auto" w:fill="auto"/>
            <w:tcMar>
              <w:top w:w="85" w:type="dxa"/>
            </w:tcMar>
            <w:vAlign w:val="center"/>
          </w:tcPr>
          <w:p w14:paraId="5A24E3F4" w14:textId="77777777" w:rsidR="00FE6B4B" w:rsidRPr="00191B6F" w:rsidRDefault="00FE6B4B" w:rsidP="00D25814">
            <w:pPr>
              <w:contextualSpacing/>
              <w:jc w:val="both"/>
              <w:rPr>
                <w:rFonts w:ascii="Arial" w:hAnsi="Arial" w:cs="Arial"/>
                <w:sz w:val="20"/>
                <w:szCs w:val="20"/>
              </w:rPr>
            </w:pPr>
            <w:r w:rsidRPr="00191B6F">
              <w:rPr>
                <w:rFonts w:ascii="Arial" w:hAnsi="Arial" w:cs="Arial"/>
                <w:sz w:val="20"/>
                <w:szCs w:val="20"/>
              </w:rPr>
              <w:t xml:space="preserve">Ebben az oszlopban </w:t>
            </w:r>
            <w:r>
              <w:rPr>
                <w:rFonts w:ascii="Arial" w:hAnsi="Arial" w:cs="Arial"/>
                <w:sz w:val="20"/>
                <w:szCs w:val="20"/>
              </w:rPr>
              <w:t xml:space="preserve">az előző év végi tényadatot </w:t>
            </w:r>
            <w:r w:rsidRPr="00191B6F">
              <w:rPr>
                <w:rFonts w:ascii="Arial" w:hAnsi="Arial" w:cs="Arial"/>
                <w:sz w:val="20"/>
                <w:szCs w:val="20"/>
              </w:rPr>
              <w:t xml:space="preserve">kell </w:t>
            </w:r>
            <w:r>
              <w:rPr>
                <w:rFonts w:ascii="Arial" w:hAnsi="Arial" w:cs="Arial"/>
                <w:sz w:val="20"/>
                <w:szCs w:val="20"/>
              </w:rPr>
              <w:t>jelenteni</w:t>
            </w:r>
            <w:r w:rsidRPr="00191B6F">
              <w:rPr>
                <w:rFonts w:ascii="Arial" w:hAnsi="Arial" w:cs="Arial"/>
                <w:sz w:val="20"/>
                <w:szCs w:val="20"/>
              </w:rPr>
              <w:t>.</w:t>
            </w:r>
          </w:p>
        </w:tc>
      </w:tr>
      <w:tr w:rsidR="00FE6B4B" w:rsidRPr="00191B6F" w14:paraId="75909F3E" w14:textId="77777777" w:rsidTr="00960BA9">
        <w:tc>
          <w:tcPr>
            <w:tcW w:w="905" w:type="dxa"/>
            <w:shd w:val="clear" w:color="auto" w:fill="auto"/>
            <w:tcMar>
              <w:top w:w="85" w:type="dxa"/>
            </w:tcMar>
            <w:vAlign w:val="center"/>
          </w:tcPr>
          <w:p w14:paraId="30F48203" w14:textId="133AEA28" w:rsidR="00FE6B4B" w:rsidRPr="00191B6F" w:rsidRDefault="00FE6B4B" w:rsidP="00D16669">
            <w:pPr>
              <w:contextualSpacing/>
              <w:rPr>
                <w:rFonts w:ascii="Arial" w:hAnsi="Arial" w:cs="Arial"/>
                <w:sz w:val="20"/>
                <w:szCs w:val="20"/>
              </w:rPr>
            </w:pPr>
            <w:r w:rsidRPr="00191B6F">
              <w:rPr>
                <w:rFonts w:ascii="Arial" w:hAnsi="Arial" w:cs="Arial"/>
                <w:sz w:val="20"/>
                <w:szCs w:val="20"/>
              </w:rPr>
              <w:t>0</w:t>
            </w:r>
            <w:r w:rsidR="00962D41">
              <w:rPr>
                <w:rFonts w:ascii="Arial" w:hAnsi="Arial" w:cs="Arial"/>
                <w:sz w:val="20"/>
                <w:szCs w:val="20"/>
              </w:rPr>
              <w:t>3</w:t>
            </w:r>
            <w:r w:rsidRPr="00191B6F">
              <w:rPr>
                <w:rFonts w:ascii="Arial" w:hAnsi="Arial" w:cs="Arial"/>
                <w:sz w:val="20"/>
                <w:szCs w:val="20"/>
              </w:rPr>
              <w:t>0 -050</w:t>
            </w:r>
          </w:p>
        </w:tc>
        <w:tc>
          <w:tcPr>
            <w:tcW w:w="3456" w:type="dxa"/>
            <w:shd w:val="clear" w:color="auto" w:fill="auto"/>
            <w:tcMar>
              <w:top w:w="85" w:type="dxa"/>
            </w:tcMar>
            <w:vAlign w:val="center"/>
          </w:tcPr>
          <w:p w14:paraId="2F2C8163" w14:textId="59A069DA" w:rsidR="00FE6B4B" w:rsidRPr="00191B6F" w:rsidRDefault="00FE6B4B" w:rsidP="00D16669">
            <w:pPr>
              <w:contextualSpacing/>
              <w:rPr>
                <w:rFonts w:ascii="Arial" w:hAnsi="Arial" w:cs="Arial"/>
                <w:sz w:val="20"/>
                <w:szCs w:val="20"/>
              </w:rPr>
            </w:pPr>
            <w:r w:rsidRPr="00191B6F">
              <w:rPr>
                <w:rFonts w:ascii="Arial" w:hAnsi="Arial" w:cs="Arial"/>
                <w:sz w:val="20"/>
                <w:szCs w:val="20"/>
              </w:rPr>
              <w:t xml:space="preserve">1 év – terv, 2 év – terv, 3 év </w:t>
            </w:r>
            <w:r w:rsidR="007C0883" w:rsidRPr="00191B6F">
              <w:rPr>
                <w:rFonts w:ascii="Arial" w:hAnsi="Arial" w:cs="Arial"/>
                <w:sz w:val="20"/>
                <w:szCs w:val="20"/>
              </w:rPr>
              <w:t>–</w:t>
            </w:r>
            <w:r w:rsidRPr="00191B6F">
              <w:rPr>
                <w:rFonts w:ascii="Arial" w:hAnsi="Arial" w:cs="Arial"/>
                <w:sz w:val="20"/>
                <w:szCs w:val="20"/>
              </w:rPr>
              <w:t xml:space="preserve"> terv</w:t>
            </w:r>
          </w:p>
        </w:tc>
        <w:tc>
          <w:tcPr>
            <w:tcW w:w="5103" w:type="dxa"/>
            <w:shd w:val="clear" w:color="auto" w:fill="auto"/>
            <w:tcMar>
              <w:top w:w="85" w:type="dxa"/>
            </w:tcMar>
            <w:vAlign w:val="center"/>
          </w:tcPr>
          <w:p w14:paraId="596C73B4" w14:textId="08E10113" w:rsidR="00FE6B4B" w:rsidRDefault="003C5714" w:rsidP="00D25814">
            <w:pPr>
              <w:contextualSpacing/>
              <w:jc w:val="both"/>
              <w:rPr>
                <w:rFonts w:ascii="Arial" w:hAnsi="Arial" w:cs="Arial"/>
                <w:sz w:val="20"/>
                <w:szCs w:val="20"/>
              </w:rPr>
            </w:pPr>
            <w:r>
              <w:rPr>
                <w:rFonts w:ascii="Arial" w:hAnsi="Arial" w:cs="Arial"/>
                <w:sz w:val="20"/>
                <w:szCs w:val="20"/>
              </w:rPr>
              <w:t>Ezekben az oszlopokban a tényadatot követő 1., 2. és 3. évre vonatkozó terv</w:t>
            </w:r>
            <w:r w:rsidR="00664D31">
              <w:rPr>
                <w:rFonts w:ascii="Arial" w:hAnsi="Arial" w:cs="Arial"/>
                <w:sz w:val="20"/>
                <w:szCs w:val="20"/>
              </w:rPr>
              <w:t xml:space="preserve"> </w:t>
            </w:r>
            <w:r>
              <w:rPr>
                <w:rFonts w:ascii="Arial" w:hAnsi="Arial" w:cs="Arial"/>
                <w:sz w:val="20"/>
                <w:szCs w:val="20"/>
              </w:rPr>
              <w:t xml:space="preserve">adatokat kell jelenteni. </w:t>
            </w:r>
          </w:p>
          <w:p w14:paraId="309F97D5" w14:textId="19FB4510" w:rsidR="00FE6B4B" w:rsidRPr="00191B6F" w:rsidRDefault="00FE6B4B" w:rsidP="00D25814">
            <w:pPr>
              <w:contextualSpacing/>
              <w:jc w:val="both"/>
              <w:rPr>
                <w:rFonts w:ascii="Arial" w:hAnsi="Arial" w:cs="Arial"/>
                <w:sz w:val="20"/>
                <w:szCs w:val="20"/>
              </w:rPr>
            </w:pPr>
            <w:r w:rsidRPr="00191B6F">
              <w:rPr>
                <w:rFonts w:ascii="Arial" w:hAnsi="Arial" w:cs="Arial"/>
                <w:sz w:val="20"/>
                <w:szCs w:val="20"/>
              </w:rPr>
              <w:t>Ezeket az oszlopokat a hitelintézeteknek a normál makrogazdasági helyzet és normál üzletmenet feltételezése mellett tett előrejelzések szerint kell kitölteniük. Az MNB nem ad meg makrogazdasági szcenáriót, a hitelintézetnek a saját becslései közül a legvalószínűbbet kell alkalmaznia.</w:t>
            </w:r>
          </w:p>
        </w:tc>
      </w:tr>
    </w:tbl>
    <w:p w14:paraId="4839F7B2" w14:textId="77777777" w:rsidR="00FE6B4B" w:rsidRDefault="00FE6B4B" w:rsidP="00FE6B4B">
      <w:pPr>
        <w:rPr>
          <w:rFonts w:ascii="Arial" w:hAnsi="Arial" w:cs="Arial"/>
          <w:b/>
          <w:sz w:val="20"/>
          <w:szCs w:val="20"/>
        </w:rPr>
      </w:pPr>
    </w:p>
    <w:p w14:paraId="72E05056" w14:textId="77777777" w:rsidR="00FE6B4B" w:rsidRDefault="00FE6B4B" w:rsidP="00FE6B4B">
      <w:pPr>
        <w:rPr>
          <w:rFonts w:ascii="Arial" w:hAnsi="Arial" w:cs="Arial"/>
          <w:b/>
          <w:sz w:val="20"/>
          <w:szCs w:val="20"/>
        </w:rPr>
      </w:pPr>
    </w:p>
    <w:p w14:paraId="2276E9EE" w14:textId="2EADC5BE" w:rsidR="00FE6B4B" w:rsidRPr="00B2610A" w:rsidRDefault="0062780E" w:rsidP="00FE6B4B">
      <w:pPr>
        <w:rPr>
          <w:rFonts w:ascii="Arial" w:hAnsi="Arial" w:cs="Arial"/>
          <w:b/>
          <w:sz w:val="20"/>
          <w:szCs w:val="20"/>
        </w:rPr>
      </w:pPr>
      <w:r w:rsidRPr="00B2610A">
        <w:rPr>
          <w:rFonts w:ascii="Arial" w:hAnsi="Arial" w:cs="Arial"/>
          <w:b/>
          <w:sz w:val="20"/>
          <w:szCs w:val="20"/>
        </w:rPr>
        <w:t xml:space="preserve">6. </w:t>
      </w:r>
      <w:r w:rsidR="00FE6B4B" w:rsidRPr="00B2610A">
        <w:rPr>
          <w:rFonts w:ascii="Arial" w:hAnsi="Arial" w:cs="Arial"/>
          <w:b/>
          <w:sz w:val="20"/>
          <w:szCs w:val="20"/>
        </w:rPr>
        <w:t>P</w:t>
      </w:r>
      <w:r w:rsidR="00857983" w:rsidRPr="00B2610A">
        <w:rPr>
          <w:rFonts w:ascii="Arial" w:hAnsi="Arial" w:cs="Arial"/>
          <w:b/>
          <w:sz w:val="20"/>
          <w:szCs w:val="20"/>
        </w:rPr>
        <w:t>_</w:t>
      </w:r>
      <w:r w:rsidR="00FE6B4B" w:rsidRPr="00B2610A">
        <w:rPr>
          <w:rFonts w:ascii="Arial" w:hAnsi="Arial" w:cs="Arial"/>
          <w:b/>
          <w:sz w:val="20"/>
          <w:szCs w:val="20"/>
        </w:rPr>
        <w:t xml:space="preserve">02.03 Finanszírozási terv </w:t>
      </w:r>
      <w:r w:rsidR="008E3A5A" w:rsidRPr="00B2610A">
        <w:rPr>
          <w:rFonts w:ascii="Arial" w:hAnsi="Arial" w:cs="Arial"/>
          <w:b/>
          <w:caps/>
          <w:sz w:val="20"/>
          <w:szCs w:val="20"/>
          <w:lang w:val="en-US" w:eastAsia="en-GB"/>
        </w:rPr>
        <w:t>–</w:t>
      </w:r>
      <w:r w:rsidR="00FE6B4B" w:rsidRPr="00B2610A">
        <w:rPr>
          <w:rFonts w:ascii="Arial" w:hAnsi="Arial" w:cs="Arial"/>
          <w:b/>
          <w:sz w:val="20"/>
          <w:szCs w:val="20"/>
        </w:rPr>
        <w:t xml:space="preserve"> Innovatív finanszírozási struktúrák</w:t>
      </w:r>
    </w:p>
    <w:p w14:paraId="23E0E79A" w14:textId="77777777" w:rsidR="00401C12" w:rsidRPr="00B2610A" w:rsidRDefault="00401C12" w:rsidP="00401C12">
      <w:pPr>
        <w:autoSpaceDE w:val="0"/>
        <w:autoSpaceDN w:val="0"/>
        <w:adjustRightInd w:val="0"/>
        <w:rPr>
          <w:rFonts w:ascii="Arial" w:hAnsi="Arial" w:cs="Arial"/>
          <w:color w:val="000000"/>
          <w:sz w:val="20"/>
          <w:szCs w:val="20"/>
        </w:rPr>
      </w:pPr>
    </w:p>
    <w:p w14:paraId="0621C455" w14:textId="62EA489B" w:rsidR="00401C12" w:rsidRPr="00B2610A" w:rsidRDefault="00401C12" w:rsidP="00D25814">
      <w:pPr>
        <w:autoSpaceDE w:val="0"/>
        <w:autoSpaceDN w:val="0"/>
        <w:adjustRightInd w:val="0"/>
        <w:jc w:val="both"/>
        <w:rPr>
          <w:rFonts w:ascii="Arial" w:hAnsi="Arial" w:cs="Arial"/>
          <w:color w:val="000000"/>
          <w:sz w:val="20"/>
          <w:szCs w:val="20"/>
        </w:rPr>
      </w:pPr>
      <w:r w:rsidRPr="00B2610A">
        <w:rPr>
          <w:rFonts w:ascii="Arial" w:hAnsi="Arial" w:cs="Arial"/>
          <w:color w:val="000000"/>
          <w:sz w:val="20"/>
          <w:szCs w:val="20"/>
        </w:rPr>
        <w:t xml:space="preserve">A hitelintézetek finanszírozásáról szóló </w:t>
      </w:r>
      <w:r w:rsidR="00A5186E">
        <w:rPr>
          <w:rFonts w:ascii="Arial" w:hAnsi="Arial" w:cs="Arial"/>
          <w:color w:val="000000"/>
          <w:sz w:val="20"/>
          <w:szCs w:val="20"/>
        </w:rPr>
        <w:t>2012. december 20-i európai rendszerkockázati testületi</w:t>
      </w:r>
      <w:r w:rsidR="00A5186E" w:rsidRPr="00B2610A">
        <w:rPr>
          <w:rFonts w:ascii="Arial" w:hAnsi="Arial" w:cs="Arial"/>
          <w:color w:val="000000"/>
          <w:sz w:val="20"/>
          <w:szCs w:val="20"/>
        </w:rPr>
        <w:t xml:space="preserve"> </w:t>
      </w:r>
      <w:r w:rsidRPr="00B2610A">
        <w:rPr>
          <w:rFonts w:ascii="Arial" w:hAnsi="Arial" w:cs="Arial"/>
          <w:color w:val="000000"/>
          <w:sz w:val="20"/>
          <w:szCs w:val="20"/>
        </w:rPr>
        <w:t>ajánlás (ER</w:t>
      </w:r>
      <w:r w:rsidR="006B36F4">
        <w:rPr>
          <w:rFonts w:ascii="Arial" w:hAnsi="Arial" w:cs="Arial"/>
          <w:color w:val="000000"/>
          <w:sz w:val="20"/>
          <w:szCs w:val="20"/>
        </w:rPr>
        <w:t>KT</w:t>
      </w:r>
      <w:r w:rsidRPr="00B2610A">
        <w:rPr>
          <w:rFonts w:ascii="Arial" w:hAnsi="Arial" w:cs="Arial"/>
          <w:color w:val="000000"/>
          <w:sz w:val="20"/>
          <w:szCs w:val="20"/>
        </w:rPr>
        <w:t xml:space="preserve">/2012/2) melléklete </w:t>
      </w:r>
      <w:r w:rsidR="006B36F4">
        <w:rPr>
          <w:rFonts w:ascii="Arial" w:hAnsi="Arial" w:cs="Arial"/>
          <w:color w:val="000000"/>
          <w:sz w:val="20"/>
          <w:szCs w:val="20"/>
        </w:rPr>
        <w:t>alapján</w:t>
      </w:r>
      <w:r w:rsidRPr="00B2610A">
        <w:rPr>
          <w:rFonts w:ascii="Arial" w:hAnsi="Arial" w:cs="Arial"/>
          <w:color w:val="000000"/>
          <w:sz w:val="20"/>
          <w:szCs w:val="20"/>
        </w:rPr>
        <w:t xml:space="preserve"> az innovatív finanszírozási </w:t>
      </w:r>
      <w:r w:rsidR="00ED6632" w:rsidRPr="00B2610A">
        <w:rPr>
          <w:rFonts w:ascii="Arial" w:hAnsi="Arial" w:cs="Arial"/>
          <w:color w:val="000000"/>
          <w:sz w:val="20"/>
          <w:szCs w:val="20"/>
        </w:rPr>
        <w:t>instrumentumok</w:t>
      </w:r>
      <w:r w:rsidRPr="00B2610A">
        <w:rPr>
          <w:rFonts w:ascii="Arial" w:hAnsi="Arial" w:cs="Arial"/>
          <w:color w:val="000000"/>
          <w:sz w:val="20"/>
          <w:szCs w:val="20"/>
        </w:rPr>
        <w:t xml:space="preserve"> magukban foglalják, de nem korlátozódnak kizárólag a következőkre: </w:t>
      </w:r>
    </w:p>
    <w:p w14:paraId="5875ABFF" w14:textId="3BF54A65" w:rsidR="00401C12" w:rsidRPr="00B2610A" w:rsidRDefault="00401C12" w:rsidP="00D25814">
      <w:pPr>
        <w:autoSpaceDE w:val="0"/>
        <w:autoSpaceDN w:val="0"/>
        <w:adjustRightInd w:val="0"/>
        <w:jc w:val="both"/>
        <w:rPr>
          <w:rFonts w:ascii="Arial" w:hAnsi="Arial" w:cs="Arial"/>
          <w:color w:val="000000"/>
          <w:sz w:val="20"/>
          <w:szCs w:val="20"/>
        </w:rPr>
      </w:pPr>
      <w:r w:rsidRPr="00B2610A">
        <w:rPr>
          <w:rFonts w:ascii="Arial" w:hAnsi="Arial" w:cs="Arial"/>
          <w:color w:val="000000"/>
          <w:sz w:val="20"/>
          <w:szCs w:val="20"/>
        </w:rPr>
        <w:t xml:space="preserve">a) </w:t>
      </w:r>
      <w:r w:rsidR="006B36F4">
        <w:rPr>
          <w:rFonts w:ascii="Arial" w:hAnsi="Arial" w:cs="Arial"/>
          <w:color w:val="000000"/>
          <w:sz w:val="20"/>
          <w:szCs w:val="20"/>
        </w:rPr>
        <w:t>l</w:t>
      </w:r>
      <w:r w:rsidRPr="00B2610A">
        <w:rPr>
          <w:rFonts w:ascii="Arial" w:hAnsi="Arial" w:cs="Arial"/>
          <w:color w:val="000000"/>
          <w:sz w:val="20"/>
          <w:szCs w:val="20"/>
        </w:rPr>
        <w:t>ikviditási csereügyletek: olyan biztosított hitelezési típus, amelynek során a kölcsönadó rendkívül likvid eszközökkel (például készpénz</w:t>
      </w:r>
      <w:r w:rsidR="007B4109">
        <w:rPr>
          <w:rFonts w:ascii="Arial" w:hAnsi="Arial" w:cs="Arial"/>
          <w:color w:val="000000"/>
          <w:sz w:val="20"/>
          <w:szCs w:val="20"/>
        </w:rPr>
        <w:t>,</w:t>
      </w:r>
      <w:r w:rsidRPr="00B2610A">
        <w:rPr>
          <w:rFonts w:ascii="Arial" w:hAnsi="Arial" w:cs="Arial"/>
          <w:color w:val="000000"/>
          <w:sz w:val="20"/>
          <w:szCs w:val="20"/>
        </w:rPr>
        <w:t xml:space="preserve"> államkötvény) látja el a kölcsönvevőt kevésbé likvid </w:t>
      </w:r>
      <w:r w:rsidR="006B36F4">
        <w:rPr>
          <w:rFonts w:ascii="Arial" w:hAnsi="Arial" w:cs="Arial"/>
          <w:color w:val="000000"/>
          <w:sz w:val="20"/>
          <w:szCs w:val="20"/>
        </w:rPr>
        <w:t>fedezeten</w:t>
      </w:r>
      <w:r w:rsidRPr="00B2610A">
        <w:rPr>
          <w:rFonts w:ascii="Arial" w:hAnsi="Arial" w:cs="Arial"/>
          <w:color w:val="000000"/>
          <w:sz w:val="20"/>
          <w:szCs w:val="20"/>
        </w:rPr>
        <w:t xml:space="preserve"> (pl. eszközfedezetű értékpapírok) alapított zálogjogért cserébe, javítva a likviditást a folyamat során</w:t>
      </w:r>
      <w:r w:rsidR="006C709F">
        <w:rPr>
          <w:rFonts w:ascii="Arial" w:hAnsi="Arial" w:cs="Arial"/>
          <w:color w:val="000000"/>
          <w:sz w:val="20"/>
          <w:szCs w:val="20"/>
        </w:rPr>
        <w:t>;</w:t>
      </w:r>
      <w:r w:rsidRPr="00B2610A">
        <w:rPr>
          <w:rFonts w:ascii="Arial" w:hAnsi="Arial" w:cs="Arial"/>
          <w:color w:val="000000"/>
          <w:sz w:val="20"/>
          <w:szCs w:val="20"/>
        </w:rPr>
        <w:t xml:space="preserve"> </w:t>
      </w:r>
    </w:p>
    <w:p w14:paraId="35543B8A" w14:textId="76F1957D" w:rsidR="00401C12" w:rsidRPr="00B2610A" w:rsidRDefault="00401C12" w:rsidP="00D25814">
      <w:pPr>
        <w:autoSpaceDE w:val="0"/>
        <w:autoSpaceDN w:val="0"/>
        <w:adjustRightInd w:val="0"/>
        <w:jc w:val="both"/>
        <w:rPr>
          <w:rFonts w:ascii="Arial" w:hAnsi="Arial" w:cs="Arial"/>
          <w:color w:val="000000"/>
          <w:sz w:val="20"/>
          <w:szCs w:val="20"/>
        </w:rPr>
      </w:pPr>
      <w:r w:rsidRPr="00B2610A">
        <w:rPr>
          <w:rFonts w:ascii="Arial" w:hAnsi="Arial" w:cs="Arial"/>
          <w:color w:val="000000"/>
          <w:sz w:val="20"/>
          <w:szCs w:val="20"/>
        </w:rPr>
        <w:t xml:space="preserve">b) </w:t>
      </w:r>
      <w:r w:rsidR="006B36F4">
        <w:rPr>
          <w:rFonts w:ascii="Arial" w:hAnsi="Arial" w:cs="Arial"/>
          <w:color w:val="000000"/>
          <w:sz w:val="20"/>
          <w:szCs w:val="20"/>
        </w:rPr>
        <w:t>s</w:t>
      </w:r>
      <w:r w:rsidRPr="00B2610A">
        <w:rPr>
          <w:rFonts w:ascii="Arial" w:hAnsi="Arial" w:cs="Arial"/>
          <w:color w:val="000000"/>
          <w:sz w:val="20"/>
          <w:szCs w:val="20"/>
        </w:rPr>
        <w:t>trukturált termékek: olyan termékek, amely a lejáratkori értéktől egy vagy több mögöttes tényező</w:t>
      </w:r>
      <w:r w:rsidR="00CE2562">
        <w:rPr>
          <w:rFonts w:ascii="Arial" w:hAnsi="Arial" w:cs="Arial"/>
          <w:color w:val="000000"/>
          <w:sz w:val="20"/>
          <w:szCs w:val="20"/>
        </w:rPr>
        <w:t xml:space="preserve"> </w:t>
      </w:r>
      <w:r w:rsidR="006B36F4">
        <w:rPr>
          <w:rFonts w:ascii="Arial" w:hAnsi="Arial" w:cs="Arial"/>
          <w:color w:val="000000"/>
          <w:sz w:val="20"/>
          <w:szCs w:val="20"/>
        </w:rPr>
        <w:t>(pl</w:t>
      </w:r>
      <w:r w:rsidR="00883E29">
        <w:rPr>
          <w:rFonts w:ascii="Arial" w:hAnsi="Arial" w:cs="Arial"/>
          <w:color w:val="000000"/>
          <w:sz w:val="20"/>
          <w:szCs w:val="20"/>
        </w:rPr>
        <w:t xml:space="preserve">. </w:t>
      </w:r>
      <w:r w:rsidRPr="00B2610A">
        <w:rPr>
          <w:rFonts w:ascii="Arial" w:hAnsi="Arial" w:cs="Arial"/>
          <w:color w:val="000000"/>
          <w:sz w:val="20"/>
          <w:szCs w:val="20"/>
        </w:rPr>
        <w:t>részvények, részvényindexek, devizaárfolyamok, inflációs indexek, hitelviszonyt megtestesítő értékpapírok vagy áruk</w:t>
      </w:r>
      <w:r w:rsidR="006B36F4">
        <w:rPr>
          <w:rFonts w:ascii="Arial" w:hAnsi="Arial" w:cs="Arial"/>
          <w:color w:val="000000"/>
          <w:sz w:val="20"/>
          <w:szCs w:val="20"/>
        </w:rPr>
        <w:t>)</w:t>
      </w:r>
      <w:r w:rsidRPr="00B2610A">
        <w:rPr>
          <w:rFonts w:ascii="Arial" w:hAnsi="Arial" w:cs="Arial"/>
          <w:color w:val="000000"/>
          <w:sz w:val="20"/>
          <w:szCs w:val="20"/>
        </w:rPr>
        <w:t xml:space="preserve"> alakulásától függő</w:t>
      </w:r>
      <w:r w:rsidR="00CE2562">
        <w:rPr>
          <w:rFonts w:ascii="Arial" w:hAnsi="Arial" w:cs="Arial"/>
          <w:color w:val="000000"/>
          <w:sz w:val="20"/>
          <w:szCs w:val="20"/>
        </w:rPr>
        <w:t>,</w:t>
      </w:r>
      <w:r w:rsidRPr="00B2610A">
        <w:rPr>
          <w:rFonts w:ascii="Arial" w:hAnsi="Arial" w:cs="Arial"/>
          <w:color w:val="000000"/>
          <w:sz w:val="20"/>
          <w:szCs w:val="20"/>
        </w:rPr>
        <w:t xml:space="preserve"> előre meghatározott kifizetési struktúrával rendelkeznek</w:t>
      </w:r>
      <w:r w:rsidR="006C709F">
        <w:rPr>
          <w:rFonts w:ascii="Arial" w:hAnsi="Arial" w:cs="Arial"/>
          <w:color w:val="000000"/>
          <w:sz w:val="20"/>
          <w:szCs w:val="20"/>
        </w:rPr>
        <w:t xml:space="preserve">; </w:t>
      </w:r>
      <w:r w:rsidR="006B36F4">
        <w:rPr>
          <w:rFonts w:ascii="Arial" w:hAnsi="Arial" w:cs="Arial"/>
          <w:color w:val="000000"/>
          <w:sz w:val="20"/>
          <w:szCs w:val="20"/>
        </w:rPr>
        <w:t>e</w:t>
      </w:r>
      <w:r w:rsidRPr="00B2610A">
        <w:rPr>
          <w:rFonts w:ascii="Arial" w:hAnsi="Arial" w:cs="Arial"/>
          <w:color w:val="000000"/>
          <w:sz w:val="20"/>
          <w:szCs w:val="20"/>
        </w:rPr>
        <w:t>zek megjelenhetnek strukturált értékpapírok vagy strukturált betétek formájában</w:t>
      </w:r>
      <w:r w:rsidR="006C709F">
        <w:rPr>
          <w:rFonts w:ascii="Arial" w:hAnsi="Arial" w:cs="Arial"/>
          <w:color w:val="000000"/>
          <w:sz w:val="20"/>
          <w:szCs w:val="20"/>
        </w:rPr>
        <w:t>;</w:t>
      </w:r>
      <w:r w:rsidRPr="00B2610A">
        <w:rPr>
          <w:rFonts w:ascii="Arial" w:hAnsi="Arial" w:cs="Arial"/>
          <w:color w:val="000000"/>
          <w:sz w:val="20"/>
          <w:szCs w:val="20"/>
        </w:rPr>
        <w:t xml:space="preserve"> </w:t>
      </w:r>
    </w:p>
    <w:p w14:paraId="67A714B8" w14:textId="507AC42D" w:rsidR="00401C12" w:rsidRPr="00B2610A" w:rsidRDefault="00401C12" w:rsidP="00D25814">
      <w:pPr>
        <w:jc w:val="both"/>
        <w:rPr>
          <w:rFonts w:ascii="Arial" w:hAnsi="Arial" w:cs="Arial"/>
          <w:b/>
          <w:sz w:val="20"/>
          <w:szCs w:val="20"/>
        </w:rPr>
      </w:pPr>
      <w:r w:rsidRPr="00B2610A">
        <w:rPr>
          <w:rFonts w:ascii="Arial" w:hAnsi="Arial" w:cs="Arial"/>
          <w:color w:val="000000"/>
          <w:sz w:val="20"/>
          <w:szCs w:val="20"/>
        </w:rPr>
        <w:t xml:space="preserve">c) </w:t>
      </w:r>
      <w:r w:rsidR="006B36F4">
        <w:rPr>
          <w:rFonts w:ascii="Arial" w:hAnsi="Arial" w:cs="Arial"/>
          <w:color w:val="000000"/>
          <w:sz w:val="20"/>
          <w:szCs w:val="20"/>
        </w:rPr>
        <w:t>t</w:t>
      </w:r>
      <w:r w:rsidRPr="00B2610A">
        <w:rPr>
          <w:rFonts w:ascii="Arial" w:hAnsi="Arial" w:cs="Arial"/>
          <w:color w:val="000000"/>
          <w:sz w:val="20"/>
          <w:szCs w:val="20"/>
        </w:rPr>
        <w:t xml:space="preserve">őzsdén </w:t>
      </w:r>
      <w:r w:rsidR="00292A86" w:rsidRPr="00B2610A">
        <w:rPr>
          <w:rFonts w:ascii="Arial" w:hAnsi="Arial" w:cs="Arial"/>
          <w:color w:val="000000"/>
          <w:sz w:val="20"/>
          <w:szCs w:val="20"/>
        </w:rPr>
        <w:t xml:space="preserve">forgalmazott befektetési </w:t>
      </w:r>
      <w:r w:rsidRPr="00B2610A">
        <w:rPr>
          <w:rFonts w:ascii="Arial" w:hAnsi="Arial" w:cs="Arial"/>
          <w:color w:val="000000"/>
          <w:sz w:val="20"/>
          <w:szCs w:val="20"/>
        </w:rPr>
        <w:t>alapok.</w:t>
      </w:r>
    </w:p>
    <w:p w14:paraId="46F91E83" w14:textId="77777777" w:rsidR="00FE6B4B" w:rsidRPr="001B098C" w:rsidRDefault="00FE6B4B" w:rsidP="00FE6B4B">
      <w:pPr>
        <w:rPr>
          <w:rFonts w:ascii="Arial" w:hAnsi="Arial" w:cs="Arial"/>
          <w:b/>
          <w:sz w:val="20"/>
          <w:szCs w:val="20"/>
        </w:rPr>
      </w:pPr>
    </w:p>
    <w:p w14:paraId="5E145344" w14:textId="77777777" w:rsidR="00FE6B4B" w:rsidRPr="00050657" w:rsidRDefault="00FE6B4B" w:rsidP="00FE6B4B">
      <w:pPr>
        <w:rPr>
          <w:rFonts w:ascii="Arial" w:hAnsi="Arial" w:cs="Arial"/>
          <w:b/>
          <w:sz w:val="20"/>
          <w:szCs w:val="20"/>
        </w:rPr>
      </w:pPr>
      <w:r w:rsidRPr="00050657">
        <w:rPr>
          <w:rFonts w:ascii="Arial" w:hAnsi="Arial" w:cs="Arial"/>
          <w:b/>
          <w:sz w:val="20"/>
          <w:szCs w:val="20"/>
        </w:rPr>
        <w:t>A tábla sorai</w:t>
      </w:r>
    </w:p>
    <w:p w14:paraId="4CCB4313" w14:textId="77777777" w:rsidR="00FE6B4B" w:rsidRPr="001B098C" w:rsidRDefault="00FE6B4B" w:rsidP="00FE6B4B">
      <w:pPr>
        <w:rPr>
          <w:rFonts w:ascii="Arial" w:hAnsi="Arial" w:cs="Arial"/>
          <w:b/>
          <w:sz w:val="20"/>
          <w:szCs w:val="20"/>
        </w:rPr>
      </w:pPr>
    </w:p>
    <w:tbl>
      <w:tblPr>
        <w:tblW w:w="9464" w:type="dxa"/>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Look w:val="04A0" w:firstRow="1" w:lastRow="0" w:firstColumn="1" w:lastColumn="0" w:noHBand="0" w:noVBand="1"/>
      </w:tblPr>
      <w:tblGrid>
        <w:gridCol w:w="905"/>
        <w:gridCol w:w="1330"/>
        <w:gridCol w:w="2976"/>
        <w:gridCol w:w="4253"/>
      </w:tblGrid>
      <w:tr w:rsidR="00FE6B4B" w:rsidRPr="00032509" w14:paraId="52CE0EDF" w14:textId="77777777" w:rsidTr="00960BA9">
        <w:tc>
          <w:tcPr>
            <w:tcW w:w="905" w:type="dxa"/>
            <w:shd w:val="clear" w:color="auto" w:fill="auto"/>
            <w:vAlign w:val="center"/>
          </w:tcPr>
          <w:p w14:paraId="2CD914E8" w14:textId="77777777" w:rsidR="00FE6B4B" w:rsidRPr="00032509" w:rsidRDefault="00FE6B4B" w:rsidP="00D16669">
            <w:pPr>
              <w:contextualSpacing/>
              <w:jc w:val="center"/>
              <w:rPr>
                <w:rFonts w:ascii="Arial" w:hAnsi="Arial" w:cs="Arial"/>
                <w:b/>
                <w:sz w:val="20"/>
                <w:szCs w:val="20"/>
              </w:rPr>
            </w:pPr>
            <w:r w:rsidRPr="00032509">
              <w:rPr>
                <w:rFonts w:ascii="Arial" w:hAnsi="Arial" w:cs="Arial"/>
                <w:b/>
                <w:sz w:val="20"/>
                <w:szCs w:val="20"/>
              </w:rPr>
              <w:t>Sorkód</w:t>
            </w:r>
          </w:p>
        </w:tc>
        <w:tc>
          <w:tcPr>
            <w:tcW w:w="1330" w:type="dxa"/>
            <w:vAlign w:val="center"/>
          </w:tcPr>
          <w:p w14:paraId="1F03DC6E" w14:textId="77777777" w:rsidR="00FE6B4B" w:rsidRPr="00032509" w:rsidRDefault="00FE6B4B" w:rsidP="00D16669">
            <w:pPr>
              <w:contextualSpacing/>
              <w:jc w:val="center"/>
              <w:rPr>
                <w:rFonts w:ascii="Arial" w:hAnsi="Arial" w:cs="Arial"/>
                <w:b/>
                <w:sz w:val="20"/>
                <w:szCs w:val="20"/>
              </w:rPr>
            </w:pPr>
            <w:r>
              <w:rPr>
                <w:rFonts w:ascii="Arial" w:hAnsi="Arial" w:cs="Arial"/>
                <w:b/>
                <w:sz w:val="20"/>
                <w:szCs w:val="20"/>
              </w:rPr>
              <w:t>Hierarchia</w:t>
            </w:r>
          </w:p>
        </w:tc>
        <w:tc>
          <w:tcPr>
            <w:tcW w:w="2976" w:type="dxa"/>
            <w:shd w:val="clear" w:color="auto" w:fill="auto"/>
            <w:vAlign w:val="center"/>
          </w:tcPr>
          <w:p w14:paraId="722C1AC2" w14:textId="77777777" w:rsidR="00FE6B4B" w:rsidRPr="00032509" w:rsidRDefault="00FE6B4B" w:rsidP="00D16669">
            <w:pPr>
              <w:contextualSpacing/>
              <w:jc w:val="center"/>
              <w:rPr>
                <w:rFonts w:ascii="Arial" w:hAnsi="Arial" w:cs="Arial"/>
                <w:b/>
                <w:sz w:val="20"/>
                <w:szCs w:val="20"/>
              </w:rPr>
            </w:pPr>
            <w:r w:rsidRPr="00032509">
              <w:rPr>
                <w:rFonts w:ascii="Arial" w:hAnsi="Arial" w:cs="Arial"/>
                <w:b/>
                <w:sz w:val="20"/>
                <w:szCs w:val="20"/>
              </w:rPr>
              <w:t>Megnevezés</w:t>
            </w:r>
          </w:p>
        </w:tc>
        <w:tc>
          <w:tcPr>
            <w:tcW w:w="4253" w:type="dxa"/>
            <w:shd w:val="clear" w:color="auto" w:fill="auto"/>
            <w:vAlign w:val="center"/>
          </w:tcPr>
          <w:p w14:paraId="210B8A87" w14:textId="77777777" w:rsidR="00FE6B4B" w:rsidRPr="00032509" w:rsidRDefault="00FE6B4B" w:rsidP="00D16669">
            <w:pPr>
              <w:contextualSpacing/>
              <w:jc w:val="center"/>
              <w:rPr>
                <w:rFonts w:ascii="Arial" w:hAnsi="Arial" w:cs="Arial"/>
                <w:b/>
                <w:sz w:val="20"/>
                <w:szCs w:val="20"/>
              </w:rPr>
            </w:pPr>
            <w:r w:rsidRPr="00191B6F">
              <w:rPr>
                <w:rFonts w:ascii="Arial" w:hAnsi="Arial" w:cs="Arial"/>
                <w:b/>
                <w:sz w:val="20"/>
                <w:szCs w:val="20"/>
              </w:rPr>
              <w:t>Hivatkozások jogszabályokra és megjegyzések</w:t>
            </w:r>
          </w:p>
        </w:tc>
      </w:tr>
      <w:tr w:rsidR="00FE6B4B" w:rsidRPr="00191B6F" w14:paraId="20E4EBF0" w14:textId="77777777" w:rsidTr="00E824AC">
        <w:trPr>
          <w:trHeight w:val="1763"/>
        </w:trPr>
        <w:tc>
          <w:tcPr>
            <w:tcW w:w="905" w:type="dxa"/>
            <w:shd w:val="clear" w:color="auto" w:fill="auto"/>
            <w:tcMar>
              <w:top w:w="85" w:type="dxa"/>
            </w:tcMar>
            <w:vAlign w:val="center"/>
          </w:tcPr>
          <w:p w14:paraId="461D52D5"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010</w:t>
            </w:r>
          </w:p>
        </w:tc>
        <w:tc>
          <w:tcPr>
            <w:tcW w:w="1330" w:type="dxa"/>
            <w:vAlign w:val="center"/>
          </w:tcPr>
          <w:p w14:paraId="6DFF9CB4" w14:textId="77777777" w:rsidR="00FE6B4B" w:rsidRPr="00191B6F" w:rsidRDefault="00FE6B4B" w:rsidP="00D16669">
            <w:pPr>
              <w:contextualSpacing/>
              <w:rPr>
                <w:rFonts w:ascii="Arial" w:hAnsi="Arial" w:cs="Arial"/>
                <w:sz w:val="20"/>
                <w:szCs w:val="20"/>
              </w:rPr>
            </w:pPr>
            <w:r>
              <w:rPr>
                <w:rFonts w:ascii="Arial" w:hAnsi="Arial" w:cs="Arial"/>
                <w:sz w:val="20"/>
                <w:szCs w:val="20"/>
              </w:rPr>
              <w:t>1.1.</w:t>
            </w:r>
          </w:p>
        </w:tc>
        <w:tc>
          <w:tcPr>
            <w:tcW w:w="2976" w:type="dxa"/>
            <w:shd w:val="clear" w:color="auto" w:fill="auto"/>
            <w:tcMar>
              <w:top w:w="85" w:type="dxa"/>
            </w:tcMar>
            <w:vAlign w:val="center"/>
          </w:tcPr>
          <w:p w14:paraId="022B91BE" w14:textId="5B66B974" w:rsidR="00FE6B4B" w:rsidRPr="00191B6F" w:rsidRDefault="00245391" w:rsidP="00D25814">
            <w:pPr>
              <w:contextualSpacing/>
              <w:jc w:val="both"/>
              <w:rPr>
                <w:rFonts w:ascii="Arial" w:hAnsi="Arial" w:cs="Arial"/>
                <w:sz w:val="20"/>
                <w:szCs w:val="20"/>
              </w:rPr>
            </w:pPr>
            <w:r>
              <w:rPr>
                <w:rFonts w:ascii="Arial" w:hAnsi="Arial" w:cs="Arial"/>
                <w:sz w:val="20"/>
                <w:szCs w:val="20"/>
              </w:rPr>
              <w:t>Jelenlegi a</w:t>
            </w:r>
            <w:r w:rsidR="00FE6B4B">
              <w:rPr>
                <w:rFonts w:ascii="Arial" w:hAnsi="Arial" w:cs="Arial"/>
                <w:sz w:val="20"/>
                <w:szCs w:val="20"/>
              </w:rPr>
              <w:t xml:space="preserve">dósság </w:t>
            </w:r>
            <w:r w:rsidR="00FE6B4B" w:rsidRPr="00191B6F">
              <w:rPr>
                <w:rFonts w:ascii="Arial" w:hAnsi="Arial" w:cs="Arial"/>
                <w:sz w:val="20"/>
                <w:szCs w:val="20"/>
              </w:rPr>
              <w:t xml:space="preserve">vagy </w:t>
            </w:r>
            <w:r w:rsidR="00FE6B4B">
              <w:rPr>
                <w:rFonts w:ascii="Arial" w:hAnsi="Arial" w:cs="Arial"/>
                <w:sz w:val="20"/>
                <w:szCs w:val="20"/>
              </w:rPr>
              <w:t>adóssághoz hasonló</w:t>
            </w:r>
            <w:r w:rsidR="00FE6B4B" w:rsidRPr="00191B6F">
              <w:rPr>
                <w:rFonts w:ascii="Arial" w:hAnsi="Arial" w:cs="Arial"/>
                <w:sz w:val="20"/>
                <w:szCs w:val="20"/>
              </w:rPr>
              <w:t xml:space="preserve"> </w:t>
            </w:r>
            <w:r w:rsidR="00522A7C">
              <w:rPr>
                <w:rFonts w:ascii="Arial" w:hAnsi="Arial" w:cs="Arial"/>
                <w:sz w:val="20"/>
                <w:szCs w:val="20"/>
              </w:rPr>
              <w:t xml:space="preserve">innovatív </w:t>
            </w:r>
            <w:r w:rsidR="00FE6B4B" w:rsidRPr="00191B6F">
              <w:rPr>
                <w:rFonts w:ascii="Arial" w:hAnsi="Arial" w:cs="Arial"/>
                <w:sz w:val="20"/>
                <w:szCs w:val="20"/>
              </w:rPr>
              <w:t xml:space="preserve">finanszírozási </w:t>
            </w:r>
            <w:r w:rsidR="00FE6B4B">
              <w:rPr>
                <w:rFonts w:ascii="Arial" w:hAnsi="Arial" w:cs="Arial"/>
                <w:sz w:val="20"/>
                <w:szCs w:val="20"/>
              </w:rPr>
              <w:t>struktúrák</w:t>
            </w:r>
          </w:p>
        </w:tc>
        <w:tc>
          <w:tcPr>
            <w:tcW w:w="4253" w:type="dxa"/>
            <w:shd w:val="clear" w:color="auto" w:fill="auto"/>
            <w:tcMar>
              <w:top w:w="85" w:type="dxa"/>
            </w:tcMar>
            <w:vAlign w:val="center"/>
          </w:tcPr>
          <w:p w14:paraId="28ED408D" w14:textId="7C4951D6" w:rsidR="00221CE5" w:rsidRPr="00B2610A" w:rsidRDefault="00D41B34" w:rsidP="00D25814">
            <w:pPr>
              <w:pStyle w:val="Default"/>
              <w:spacing w:before="143" w:after="143"/>
              <w:jc w:val="both"/>
              <w:rPr>
                <w:rFonts w:ascii="Arial" w:hAnsi="Arial" w:cs="Arial"/>
                <w:sz w:val="20"/>
                <w:szCs w:val="20"/>
              </w:rPr>
            </w:pPr>
            <w:r>
              <w:rPr>
                <w:rFonts w:ascii="Arial" w:hAnsi="Arial" w:cs="Arial"/>
                <w:sz w:val="20"/>
                <w:szCs w:val="20"/>
              </w:rPr>
              <w:t>I</w:t>
            </w:r>
            <w:r w:rsidR="00221CE5" w:rsidRPr="00B2610A">
              <w:rPr>
                <w:rFonts w:ascii="Arial" w:hAnsi="Arial" w:cs="Arial"/>
                <w:sz w:val="20"/>
                <w:szCs w:val="20"/>
              </w:rPr>
              <w:t>tt kell jelenteni az adósság vagy az adóssághoz hasonló innovatív finanszírozási struktúrák fennmaradó állományát</w:t>
            </w:r>
            <w:r w:rsidR="0010022A">
              <w:rPr>
                <w:rFonts w:ascii="Arial" w:hAnsi="Arial" w:cs="Arial"/>
                <w:sz w:val="20"/>
                <w:szCs w:val="20"/>
              </w:rPr>
              <w:t>.</w:t>
            </w:r>
          </w:p>
          <w:p w14:paraId="5C82CC4F" w14:textId="04A6D168" w:rsidR="00FE6B4B" w:rsidRPr="00221CE5" w:rsidRDefault="00FE6B4B" w:rsidP="00D25814">
            <w:pPr>
              <w:contextualSpacing/>
              <w:jc w:val="both"/>
              <w:rPr>
                <w:rFonts w:ascii="Arial" w:hAnsi="Arial" w:cs="Arial"/>
                <w:sz w:val="20"/>
                <w:szCs w:val="20"/>
                <w:highlight w:val="red"/>
              </w:rPr>
            </w:pPr>
            <w:r w:rsidRPr="00E00A92">
              <w:rPr>
                <w:rFonts w:ascii="Arial" w:hAnsi="Arial" w:cs="Arial"/>
                <w:sz w:val="20"/>
                <w:szCs w:val="20"/>
              </w:rPr>
              <w:t>Az intézményeknek belső szabályzatukban kell meghatározniuk, hogy me</w:t>
            </w:r>
            <w:r w:rsidRPr="00221CE5">
              <w:rPr>
                <w:rFonts w:ascii="Arial" w:hAnsi="Arial" w:cs="Arial"/>
                <w:sz w:val="20"/>
                <w:szCs w:val="20"/>
              </w:rPr>
              <w:t>ly termékeket tekintik innovatívnak. A szabályzatot az MNB ellenőrizheti.</w:t>
            </w:r>
          </w:p>
        </w:tc>
      </w:tr>
      <w:tr w:rsidR="00FE6B4B" w:rsidRPr="00191B6F" w14:paraId="129953DF" w14:textId="77777777" w:rsidTr="00960BA9">
        <w:tc>
          <w:tcPr>
            <w:tcW w:w="905" w:type="dxa"/>
            <w:shd w:val="clear" w:color="auto" w:fill="auto"/>
            <w:tcMar>
              <w:top w:w="85" w:type="dxa"/>
            </w:tcMar>
            <w:vAlign w:val="center"/>
          </w:tcPr>
          <w:p w14:paraId="49A8BE96" w14:textId="77777777" w:rsidR="00FE6B4B" w:rsidRPr="00191B6F" w:rsidRDefault="00FE6B4B" w:rsidP="00D16669">
            <w:pPr>
              <w:contextualSpacing/>
              <w:rPr>
                <w:rFonts w:ascii="Arial" w:hAnsi="Arial" w:cs="Arial"/>
                <w:sz w:val="20"/>
                <w:szCs w:val="20"/>
              </w:rPr>
            </w:pPr>
            <w:r>
              <w:rPr>
                <w:rFonts w:ascii="Arial" w:hAnsi="Arial" w:cs="Arial"/>
                <w:sz w:val="20"/>
                <w:szCs w:val="20"/>
              </w:rPr>
              <w:t>030</w:t>
            </w:r>
          </w:p>
        </w:tc>
        <w:tc>
          <w:tcPr>
            <w:tcW w:w="1330" w:type="dxa"/>
            <w:vAlign w:val="center"/>
          </w:tcPr>
          <w:p w14:paraId="69A46AD0" w14:textId="77777777" w:rsidR="00FE6B4B" w:rsidRDefault="00FE6B4B" w:rsidP="00D16669">
            <w:pPr>
              <w:contextualSpacing/>
              <w:rPr>
                <w:rFonts w:ascii="Arial" w:hAnsi="Arial" w:cs="Arial"/>
                <w:sz w:val="20"/>
                <w:szCs w:val="20"/>
              </w:rPr>
            </w:pPr>
            <w:r>
              <w:rPr>
                <w:rFonts w:ascii="Arial" w:hAnsi="Arial" w:cs="Arial"/>
                <w:sz w:val="20"/>
                <w:szCs w:val="20"/>
              </w:rPr>
              <w:t>1.1.2.</w:t>
            </w:r>
          </w:p>
        </w:tc>
        <w:tc>
          <w:tcPr>
            <w:tcW w:w="2976" w:type="dxa"/>
            <w:shd w:val="clear" w:color="auto" w:fill="auto"/>
            <w:tcMar>
              <w:top w:w="85" w:type="dxa"/>
            </w:tcMar>
            <w:vAlign w:val="center"/>
          </w:tcPr>
          <w:p w14:paraId="63A2A419" w14:textId="6271C6D2" w:rsidR="00FE6B4B" w:rsidRPr="00191B6F" w:rsidRDefault="00E824AC" w:rsidP="00D25814">
            <w:pPr>
              <w:contextualSpacing/>
              <w:jc w:val="both"/>
              <w:rPr>
                <w:rFonts w:ascii="Arial" w:hAnsi="Arial" w:cs="Arial"/>
                <w:sz w:val="20"/>
                <w:szCs w:val="20"/>
              </w:rPr>
            </w:pPr>
            <w:r w:rsidRPr="00E824AC">
              <w:rPr>
                <w:rFonts w:ascii="Arial" w:hAnsi="Arial" w:cs="Arial"/>
                <w:sz w:val="20"/>
                <w:szCs w:val="20"/>
              </w:rPr>
              <w:t>1.1</w:t>
            </w:r>
            <w:r w:rsidR="0055615F">
              <w:rPr>
                <w:rFonts w:ascii="Arial" w:hAnsi="Arial" w:cs="Arial"/>
                <w:sz w:val="20"/>
                <w:szCs w:val="20"/>
              </w:rPr>
              <w:t>.</w:t>
            </w:r>
            <w:r w:rsidRPr="00E824AC">
              <w:rPr>
                <w:rFonts w:ascii="Arial" w:hAnsi="Arial" w:cs="Arial"/>
                <w:sz w:val="20"/>
                <w:szCs w:val="20"/>
              </w:rPr>
              <w:t>-ből</w:t>
            </w:r>
            <w:r w:rsidR="00FE6B4B">
              <w:rPr>
                <w:rFonts w:ascii="Arial" w:hAnsi="Arial" w:cs="Arial"/>
                <w:sz w:val="20"/>
                <w:szCs w:val="20"/>
              </w:rPr>
              <w:t xml:space="preserve">: </w:t>
            </w:r>
            <w:r w:rsidR="00156819">
              <w:rPr>
                <w:rFonts w:ascii="Arial" w:hAnsi="Arial" w:cs="Arial"/>
                <w:sz w:val="20"/>
                <w:szCs w:val="20"/>
              </w:rPr>
              <w:t xml:space="preserve">háztartásoknak értékesített </w:t>
            </w:r>
          </w:p>
        </w:tc>
        <w:tc>
          <w:tcPr>
            <w:tcW w:w="4253" w:type="dxa"/>
            <w:shd w:val="clear" w:color="auto" w:fill="auto"/>
            <w:tcMar>
              <w:top w:w="85" w:type="dxa"/>
            </w:tcMar>
            <w:vAlign w:val="center"/>
          </w:tcPr>
          <w:p w14:paraId="717E3A8E" w14:textId="3008AA45" w:rsidR="00FE6B4B" w:rsidRPr="004D4C47" w:rsidRDefault="00FE6B4B" w:rsidP="00D25814">
            <w:pPr>
              <w:contextualSpacing/>
              <w:jc w:val="both"/>
              <w:rPr>
                <w:rFonts w:ascii="Arial" w:hAnsi="Arial" w:cs="Arial"/>
                <w:sz w:val="20"/>
                <w:szCs w:val="20"/>
              </w:rPr>
            </w:pPr>
            <w:r w:rsidRPr="00221CE5">
              <w:rPr>
                <w:rFonts w:ascii="Arial" w:hAnsi="Arial" w:cs="Arial"/>
                <w:sz w:val="20"/>
                <w:szCs w:val="20"/>
              </w:rPr>
              <w:t>lásd P</w:t>
            </w:r>
            <w:r w:rsidR="00857983" w:rsidRPr="005E0EC9">
              <w:rPr>
                <w:rFonts w:ascii="Arial" w:hAnsi="Arial" w:cs="Arial"/>
                <w:sz w:val="20"/>
                <w:szCs w:val="20"/>
              </w:rPr>
              <w:t>_</w:t>
            </w:r>
            <w:r w:rsidRPr="005E0EC9">
              <w:rPr>
                <w:rFonts w:ascii="Arial" w:hAnsi="Arial" w:cs="Arial"/>
                <w:sz w:val="20"/>
                <w:szCs w:val="20"/>
              </w:rPr>
              <w:t>01.01 tábla 030. sor, valamint P</w:t>
            </w:r>
            <w:r w:rsidRPr="004D4C47">
              <w:rPr>
                <w:rFonts w:ascii="Arial" w:hAnsi="Arial" w:cs="Arial"/>
                <w:sz w:val="20"/>
                <w:szCs w:val="20"/>
              </w:rPr>
              <w:t>_01.02 tábla 020. sor</w:t>
            </w:r>
          </w:p>
        </w:tc>
      </w:tr>
      <w:tr w:rsidR="00FE6B4B" w:rsidRPr="00191B6F" w14:paraId="2D01C768" w14:textId="77777777" w:rsidTr="00E824AC">
        <w:trPr>
          <w:trHeight w:val="1203"/>
        </w:trPr>
        <w:tc>
          <w:tcPr>
            <w:tcW w:w="905" w:type="dxa"/>
            <w:shd w:val="clear" w:color="auto" w:fill="auto"/>
            <w:tcMar>
              <w:top w:w="85" w:type="dxa"/>
            </w:tcMar>
            <w:vAlign w:val="center"/>
          </w:tcPr>
          <w:p w14:paraId="1F335646" w14:textId="77777777" w:rsidR="00FE6B4B" w:rsidRPr="00191B6F" w:rsidRDefault="00FE6B4B" w:rsidP="00D16669">
            <w:pPr>
              <w:contextualSpacing/>
              <w:rPr>
                <w:rFonts w:ascii="Arial" w:hAnsi="Arial" w:cs="Arial"/>
                <w:sz w:val="20"/>
                <w:szCs w:val="20"/>
              </w:rPr>
            </w:pPr>
            <w:r>
              <w:rPr>
                <w:rFonts w:ascii="Arial" w:hAnsi="Arial" w:cs="Arial"/>
                <w:sz w:val="20"/>
                <w:szCs w:val="20"/>
              </w:rPr>
              <w:t>040</w:t>
            </w:r>
          </w:p>
        </w:tc>
        <w:tc>
          <w:tcPr>
            <w:tcW w:w="1330" w:type="dxa"/>
            <w:vAlign w:val="center"/>
          </w:tcPr>
          <w:p w14:paraId="0F81811E" w14:textId="77777777" w:rsidR="00FE6B4B" w:rsidRDefault="00FE6B4B" w:rsidP="00D16669">
            <w:pPr>
              <w:contextualSpacing/>
              <w:rPr>
                <w:rFonts w:ascii="Arial" w:hAnsi="Arial" w:cs="Arial"/>
                <w:sz w:val="20"/>
                <w:szCs w:val="20"/>
              </w:rPr>
            </w:pPr>
            <w:r>
              <w:rPr>
                <w:rFonts w:ascii="Arial" w:hAnsi="Arial" w:cs="Arial"/>
                <w:sz w:val="20"/>
                <w:szCs w:val="20"/>
              </w:rPr>
              <w:t>1.1.2.1.</w:t>
            </w:r>
          </w:p>
        </w:tc>
        <w:tc>
          <w:tcPr>
            <w:tcW w:w="2976" w:type="dxa"/>
            <w:shd w:val="clear" w:color="auto" w:fill="auto"/>
            <w:tcMar>
              <w:top w:w="85" w:type="dxa"/>
            </w:tcMar>
            <w:vAlign w:val="center"/>
          </w:tcPr>
          <w:p w14:paraId="76430C86" w14:textId="409B3A6B" w:rsidR="00FE6B4B" w:rsidRPr="00191B6F" w:rsidRDefault="00E824AC" w:rsidP="00D25814">
            <w:pPr>
              <w:contextualSpacing/>
              <w:jc w:val="both"/>
              <w:rPr>
                <w:rFonts w:ascii="Arial" w:hAnsi="Arial" w:cs="Arial"/>
                <w:sz w:val="20"/>
                <w:szCs w:val="20"/>
              </w:rPr>
            </w:pPr>
            <w:r w:rsidRPr="00E824AC">
              <w:rPr>
                <w:rFonts w:ascii="Arial" w:hAnsi="Arial" w:cs="Arial"/>
                <w:sz w:val="20"/>
                <w:szCs w:val="20"/>
              </w:rPr>
              <w:t>1.1.2</w:t>
            </w:r>
            <w:r w:rsidR="0055615F">
              <w:rPr>
                <w:rFonts w:ascii="Arial" w:hAnsi="Arial" w:cs="Arial"/>
                <w:sz w:val="20"/>
                <w:szCs w:val="20"/>
              </w:rPr>
              <w:t>.</w:t>
            </w:r>
            <w:r w:rsidRPr="00E824AC">
              <w:rPr>
                <w:rFonts w:ascii="Arial" w:hAnsi="Arial" w:cs="Arial"/>
                <w:sz w:val="20"/>
                <w:szCs w:val="20"/>
              </w:rPr>
              <w:t>-</w:t>
            </w:r>
            <w:r w:rsidR="00FE6B4B">
              <w:rPr>
                <w:rFonts w:ascii="Arial" w:hAnsi="Arial" w:cs="Arial"/>
                <w:sz w:val="20"/>
                <w:szCs w:val="20"/>
              </w:rPr>
              <w:t xml:space="preserve">ből: bankbetéttel már rendelkező </w:t>
            </w:r>
            <w:r w:rsidR="00156819">
              <w:rPr>
                <w:rFonts w:ascii="Arial" w:hAnsi="Arial" w:cs="Arial"/>
                <w:sz w:val="20"/>
                <w:szCs w:val="20"/>
              </w:rPr>
              <w:t xml:space="preserve">háztartásoknak értékesített </w:t>
            </w:r>
          </w:p>
        </w:tc>
        <w:tc>
          <w:tcPr>
            <w:tcW w:w="4253" w:type="dxa"/>
            <w:shd w:val="clear" w:color="auto" w:fill="auto"/>
            <w:tcMar>
              <w:top w:w="85" w:type="dxa"/>
            </w:tcMar>
            <w:vAlign w:val="center"/>
          </w:tcPr>
          <w:p w14:paraId="05446C77" w14:textId="61A70E74" w:rsidR="00FE6B4B" w:rsidRPr="00221CE5" w:rsidRDefault="00221CE5" w:rsidP="00D25814">
            <w:pPr>
              <w:pStyle w:val="Default"/>
              <w:spacing w:before="143" w:after="143"/>
              <w:jc w:val="both"/>
              <w:rPr>
                <w:rFonts w:ascii="Arial" w:hAnsi="Arial" w:cs="Arial"/>
                <w:sz w:val="20"/>
                <w:szCs w:val="20"/>
              </w:rPr>
            </w:pPr>
            <w:r w:rsidRPr="00B2610A">
              <w:rPr>
                <w:rFonts w:ascii="Arial" w:hAnsi="Arial" w:cs="Arial"/>
                <w:sz w:val="20"/>
                <w:szCs w:val="20"/>
              </w:rPr>
              <w:t>A hitelintézeteknek itt kell jelenteniük azt az összeget, amelyet olyan háztartásoknak értékesítettek, amelyek már betéte(ke)t tartottak a hitelintézetnél, mielőtt az innovatív finanszírozási terméket megvásárolták.</w:t>
            </w:r>
          </w:p>
        </w:tc>
      </w:tr>
    </w:tbl>
    <w:p w14:paraId="384BA0C5" w14:textId="77777777" w:rsidR="00FE6B4B" w:rsidRPr="001B098C" w:rsidRDefault="00FE6B4B" w:rsidP="00FE6B4B">
      <w:pPr>
        <w:rPr>
          <w:rFonts w:ascii="Arial" w:hAnsi="Arial" w:cs="Arial"/>
          <w:sz w:val="20"/>
          <w:szCs w:val="20"/>
        </w:rPr>
      </w:pPr>
    </w:p>
    <w:p w14:paraId="4863840D" w14:textId="77777777" w:rsidR="00FE6B4B" w:rsidRDefault="00FE6B4B" w:rsidP="00FE6B4B">
      <w:pPr>
        <w:rPr>
          <w:rFonts w:ascii="Arial" w:hAnsi="Arial" w:cs="Arial"/>
          <w:b/>
          <w:sz w:val="20"/>
          <w:szCs w:val="20"/>
        </w:rPr>
      </w:pPr>
      <w:r w:rsidRPr="00352BD3">
        <w:rPr>
          <w:rFonts w:ascii="Arial" w:hAnsi="Arial" w:cs="Arial"/>
          <w:b/>
          <w:sz w:val="20"/>
          <w:szCs w:val="20"/>
        </w:rPr>
        <w:t>A tábla oszlopai</w:t>
      </w:r>
    </w:p>
    <w:p w14:paraId="2CCDC270" w14:textId="77777777" w:rsidR="00FE6B4B" w:rsidRPr="00352BD3" w:rsidRDefault="00FE6B4B" w:rsidP="00FE6B4B">
      <w:pPr>
        <w:rPr>
          <w:rFonts w:ascii="Arial" w:hAnsi="Arial" w:cs="Arial"/>
          <w:b/>
          <w:sz w:val="20"/>
          <w:szCs w:val="20"/>
        </w:rPr>
      </w:pPr>
    </w:p>
    <w:tbl>
      <w:tblPr>
        <w:tblW w:w="9464" w:type="dxa"/>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Look w:val="04A0" w:firstRow="1" w:lastRow="0" w:firstColumn="1" w:lastColumn="0" w:noHBand="0" w:noVBand="1"/>
      </w:tblPr>
      <w:tblGrid>
        <w:gridCol w:w="905"/>
        <w:gridCol w:w="3456"/>
        <w:gridCol w:w="5103"/>
      </w:tblGrid>
      <w:tr w:rsidR="00FE6B4B" w:rsidRPr="00191B6F" w14:paraId="7C833C39" w14:textId="77777777" w:rsidTr="00960BA9">
        <w:tc>
          <w:tcPr>
            <w:tcW w:w="905" w:type="dxa"/>
            <w:shd w:val="clear" w:color="auto" w:fill="auto"/>
            <w:tcMar>
              <w:top w:w="85" w:type="dxa"/>
            </w:tcMar>
            <w:vAlign w:val="center"/>
          </w:tcPr>
          <w:p w14:paraId="6CA902C0" w14:textId="77777777" w:rsidR="00FE6B4B" w:rsidRPr="0091468E" w:rsidRDefault="00FE6B4B" w:rsidP="00D16669">
            <w:pPr>
              <w:contextualSpacing/>
              <w:rPr>
                <w:rFonts w:ascii="Arial" w:hAnsi="Arial" w:cs="Arial"/>
                <w:b/>
                <w:sz w:val="20"/>
                <w:szCs w:val="20"/>
              </w:rPr>
            </w:pPr>
            <w:r w:rsidRPr="0091468E">
              <w:rPr>
                <w:rFonts w:ascii="Arial" w:hAnsi="Arial" w:cs="Arial"/>
                <w:b/>
                <w:sz w:val="20"/>
                <w:szCs w:val="20"/>
              </w:rPr>
              <w:t>Oszlop</w:t>
            </w:r>
          </w:p>
        </w:tc>
        <w:tc>
          <w:tcPr>
            <w:tcW w:w="3456" w:type="dxa"/>
            <w:shd w:val="clear" w:color="auto" w:fill="auto"/>
            <w:tcMar>
              <w:top w:w="85" w:type="dxa"/>
            </w:tcMar>
            <w:vAlign w:val="center"/>
          </w:tcPr>
          <w:p w14:paraId="2ADB6534" w14:textId="77777777" w:rsidR="00FE6B4B" w:rsidRPr="0091468E" w:rsidRDefault="00FE6B4B" w:rsidP="00D16669">
            <w:pPr>
              <w:contextualSpacing/>
              <w:rPr>
                <w:rFonts w:ascii="Arial" w:hAnsi="Arial" w:cs="Arial"/>
                <w:b/>
                <w:sz w:val="20"/>
                <w:szCs w:val="20"/>
              </w:rPr>
            </w:pPr>
            <w:r w:rsidRPr="0091468E">
              <w:rPr>
                <w:rFonts w:ascii="Arial" w:hAnsi="Arial" w:cs="Arial"/>
                <w:b/>
                <w:sz w:val="20"/>
                <w:szCs w:val="20"/>
              </w:rPr>
              <w:t>Megnevezés</w:t>
            </w:r>
          </w:p>
        </w:tc>
        <w:tc>
          <w:tcPr>
            <w:tcW w:w="5103" w:type="dxa"/>
            <w:shd w:val="clear" w:color="auto" w:fill="auto"/>
            <w:tcMar>
              <w:top w:w="85" w:type="dxa"/>
            </w:tcMar>
            <w:vAlign w:val="center"/>
          </w:tcPr>
          <w:p w14:paraId="3DC653A2" w14:textId="77777777" w:rsidR="00FE6B4B" w:rsidRPr="00191B6F" w:rsidRDefault="00FE6B4B" w:rsidP="00D16669">
            <w:pPr>
              <w:contextualSpacing/>
              <w:rPr>
                <w:rFonts w:ascii="Arial" w:hAnsi="Arial" w:cs="Arial"/>
                <w:sz w:val="20"/>
                <w:szCs w:val="20"/>
              </w:rPr>
            </w:pPr>
            <w:r w:rsidRPr="00191B6F">
              <w:rPr>
                <w:rFonts w:ascii="Arial" w:hAnsi="Arial" w:cs="Arial"/>
                <w:b/>
                <w:sz w:val="20"/>
                <w:szCs w:val="20"/>
              </w:rPr>
              <w:t>Hivatkozások jogszabályokra és megjegyzések</w:t>
            </w:r>
          </w:p>
        </w:tc>
      </w:tr>
      <w:tr w:rsidR="00FE6B4B" w:rsidRPr="00191B6F" w14:paraId="781FBFA2" w14:textId="77777777" w:rsidTr="00960BA9">
        <w:tc>
          <w:tcPr>
            <w:tcW w:w="905" w:type="dxa"/>
            <w:shd w:val="clear" w:color="auto" w:fill="auto"/>
            <w:tcMar>
              <w:top w:w="85" w:type="dxa"/>
            </w:tcMar>
            <w:vAlign w:val="center"/>
          </w:tcPr>
          <w:p w14:paraId="51AA56C2"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010</w:t>
            </w:r>
          </w:p>
        </w:tc>
        <w:tc>
          <w:tcPr>
            <w:tcW w:w="3456" w:type="dxa"/>
            <w:shd w:val="clear" w:color="auto" w:fill="auto"/>
            <w:tcMar>
              <w:top w:w="85" w:type="dxa"/>
            </w:tcMar>
            <w:vAlign w:val="center"/>
          </w:tcPr>
          <w:p w14:paraId="0ECF3AA7"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Aktuális – tény adatok</w:t>
            </w:r>
          </w:p>
        </w:tc>
        <w:tc>
          <w:tcPr>
            <w:tcW w:w="5103" w:type="dxa"/>
            <w:shd w:val="clear" w:color="auto" w:fill="auto"/>
            <w:tcMar>
              <w:top w:w="85" w:type="dxa"/>
            </w:tcMar>
            <w:vAlign w:val="center"/>
          </w:tcPr>
          <w:p w14:paraId="3F09DAE8" w14:textId="77777777" w:rsidR="00FE6B4B" w:rsidRPr="00191B6F" w:rsidRDefault="00FE6B4B" w:rsidP="00F71FAF">
            <w:pPr>
              <w:contextualSpacing/>
              <w:jc w:val="both"/>
              <w:rPr>
                <w:rFonts w:ascii="Arial" w:hAnsi="Arial" w:cs="Arial"/>
                <w:sz w:val="20"/>
                <w:szCs w:val="20"/>
              </w:rPr>
            </w:pPr>
            <w:r w:rsidRPr="00191B6F">
              <w:rPr>
                <w:rFonts w:ascii="Arial" w:hAnsi="Arial" w:cs="Arial"/>
                <w:sz w:val="20"/>
                <w:szCs w:val="20"/>
              </w:rPr>
              <w:t xml:space="preserve">Ebben az oszlopban </w:t>
            </w:r>
            <w:r>
              <w:rPr>
                <w:rFonts w:ascii="Arial" w:hAnsi="Arial" w:cs="Arial"/>
                <w:sz w:val="20"/>
                <w:szCs w:val="20"/>
              </w:rPr>
              <w:t xml:space="preserve">az előző év végi tényadatot </w:t>
            </w:r>
            <w:r w:rsidRPr="00191B6F">
              <w:rPr>
                <w:rFonts w:ascii="Arial" w:hAnsi="Arial" w:cs="Arial"/>
                <w:sz w:val="20"/>
                <w:szCs w:val="20"/>
              </w:rPr>
              <w:t xml:space="preserve">kell </w:t>
            </w:r>
            <w:r>
              <w:rPr>
                <w:rFonts w:ascii="Arial" w:hAnsi="Arial" w:cs="Arial"/>
                <w:sz w:val="20"/>
                <w:szCs w:val="20"/>
              </w:rPr>
              <w:t>jelenteni</w:t>
            </w:r>
            <w:r w:rsidRPr="00191B6F">
              <w:rPr>
                <w:rFonts w:ascii="Arial" w:hAnsi="Arial" w:cs="Arial"/>
                <w:sz w:val="20"/>
                <w:szCs w:val="20"/>
              </w:rPr>
              <w:t>.</w:t>
            </w:r>
          </w:p>
        </w:tc>
      </w:tr>
      <w:tr w:rsidR="00FE6B4B" w:rsidRPr="00191B6F" w14:paraId="00B5F096" w14:textId="77777777" w:rsidTr="00960BA9">
        <w:tc>
          <w:tcPr>
            <w:tcW w:w="905" w:type="dxa"/>
            <w:shd w:val="clear" w:color="auto" w:fill="auto"/>
            <w:tcMar>
              <w:top w:w="85" w:type="dxa"/>
            </w:tcMar>
            <w:vAlign w:val="center"/>
          </w:tcPr>
          <w:p w14:paraId="7507A362" w14:textId="1A05C027" w:rsidR="00FE6B4B" w:rsidRPr="00191B6F" w:rsidRDefault="00FE6B4B" w:rsidP="00D16669">
            <w:pPr>
              <w:contextualSpacing/>
              <w:rPr>
                <w:rFonts w:ascii="Arial" w:hAnsi="Arial" w:cs="Arial"/>
                <w:sz w:val="20"/>
                <w:szCs w:val="20"/>
              </w:rPr>
            </w:pPr>
            <w:r w:rsidRPr="00191B6F">
              <w:rPr>
                <w:rFonts w:ascii="Arial" w:hAnsi="Arial" w:cs="Arial"/>
                <w:sz w:val="20"/>
                <w:szCs w:val="20"/>
              </w:rPr>
              <w:t>0</w:t>
            </w:r>
            <w:r w:rsidR="00156819">
              <w:rPr>
                <w:rFonts w:ascii="Arial" w:hAnsi="Arial" w:cs="Arial"/>
                <w:sz w:val="20"/>
                <w:szCs w:val="20"/>
              </w:rPr>
              <w:t>3</w:t>
            </w:r>
            <w:r w:rsidRPr="00191B6F">
              <w:rPr>
                <w:rFonts w:ascii="Arial" w:hAnsi="Arial" w:cs="Arial"/>
                <w:sz w:val="20"/>
                <w:szCs w:val="20"/>
              </w:rPr>
              <w:t>0 -050</w:t>
            </w:r>
          </w:p>
        </w:tc>
        <w:tc>
          <w:tcPr>
            <w:tcW w:w="3456" w:type="dxa"/>
            <w:shd w:val="clear" w:color="auto" w:fill="auto"/>
            <w:tcMar>
              <w:top w:w="85" w:type="dxa"/>
            </w:tcMar>
            <w:vAlign w:val="center"/>
          </w:tcPr>
          <w:p w14:paraId="4113D86B" w14:textId="5EE4176A" w:rsidR="00FE6B4B" w:rsidRPr="00191B6F" w:rsidRDefault="00FE6B4B" w:rsidP="00D16669">
            <w:pPr>
              <w:contextualSpacing/>
              <w:rPr>
                <w:rFonts w:ascii="Arial" w:hAnsi="Arial" w:cs="Arial"/>
                <w:sz w:val="20"/>
                <w:szCs w:val="20"/>
              </w:rPr>
            </w:pPr>
            <w:r w:rsidRPr="00191B6F">
              <w:rPr>
                <w:rFonts w:ascii="Arial" w:hAnsi="Arial" w:cs="Arial"/>
                <w:sz w:val="20"/>
                <w:szCs w:val="20"/>
              </w:rPr>
              <w:t xml:space="preserve">1 év – terv, 2 év – terv, 3 év </w:t>
            </w:r>
            <w:r w:rsidR="007C0883" w:rsidRPr="00191B6F">
              <w:rPr>
                <w:rFonts w:ascii="Arial" w:hAnsi="Arial" w:cs="Arial"/>
                <w:sz w:val="20"/>
                <w:szCs w:val="20"/>
              </w:rPr>
              <w:t>–</w:t>
            </w:r>
            <w:r w:rsidRPr="00191B6F">
              <w:rPr>
                <w:rFonts w:ascii="Arial" w:hAnsi="Arial" w:cs="Arial"/>
                <w:sz w:val="20"/>
                <w:szCs w:val="20"/>
              </w:rPr>
              <w:t xml:space="preserve"> terv</w:t>
            </w:r>
          </w:p>
        </w:tc>
        <w:tc>
          <w:tcPr>
            <w:tcW w:w="5103" w:type="dxa"/>
            <w:shd w:val="clear" w:color="auto" w:fill="auto"/>
            <w:tcMar>
              <w:top w:w="85" w:type="dxa"/>
            </w:tcMar>
            <w:vAlign w:val="center"/>
          </w:tcPr>
          <w:p w14:paraId="3162576A" w14:textId="3AF2D898" w:rsidR="00FE6B4B" w:rsidRDefault="003C5714" w:rsidP="00F71FAF">
            <w:pPr>
              <w:contextualSpacing/>
              <w:jc w:val="both"/>
              <w:rPr>
                <w:rFonts w:ascii="Arial" w:hAnsi="Arial" w:cs="Arial"/>
                <w:sz w:val="20"/>
                <w:szCs w:val="20"/>
              </w:rPr>
            </w:pPr>
            <w:r>
              <w:rPr>
                <w:rFonts w:ascii="Arial" w:hAnsi="Arial" w:cs="Arial"/>
                <w:sz w:val="20"/>
                <w:szCs w:val="20"/>
              </w:rPr>
              <w:t>Ezekben az oszlopokban a tényadatot 1., 2. és 3. évre vonatkozó terv</w:t>
            </w:r>
            <w:r w:rsidR="00664D31">
              <w:rPr>
                <w:rFonts w:ascii="Arial" w:hAnsi="Arial" w:cs="Arial"/>
                <w:sz w:val="20"/>
                <w:szCs w:val="20"/>
              </w:rPr>
              <w:t xml:space="preserve"> </w:t>
            </w:r>
            <w:r>
              <w:rPr>
                <w:rFonts w:ascii="Arial" w:hAnsi="Arial" w:cs="Arial"/>
                <w:sz w:val="20"/>
                <w:szCs w:val="20"/>
              </w:rPr>
              <w:t xml:space="preserve">adatokat kell jelenteni. </w:t>
            </w:r>
          </w:p>
          <w:p w14:paraId="24C04F7B" w14:textId="77777777" w:rsidR="00FE6B4B" w:rsidRPr="00191B6F" w:rsidRDefault="00FE6B4B" w:rsidP="00F71FAF">
            <w:pPr>
              <w:contextualSpacing/>
              <w:jc w:val="both"/>
              <w:rPr>
                <w:rFonts w:ascii="Arial" w:hAnsi="Arial" w:cs="Arial"/>
                <w:sz w:val="20"/>
                <w:szCs w:val="20"/>
              </w:rPr>
            </w:pPr>
            <w:r w:rsidRPr="00191B6F">
              <w:rPr>
                <w:rFonts w:ascii="Arial" w:hAnsi="Arial" w:cs="Arial"/>
                <w:sz w:val="20"/>
                <w:szCs w:val="20"/>
              </w:rPr>
              <w:t>Ezeket az oszlopokat a hitelintézeteknek a normál makrogazdasági helyzet és normál üzletmenet feltételezése mellett tett előrejelzések szerint kell kitölteniük. Az MNB nem ad meg makrogazdasági szcenáriót, a hitelintézetnek a saját becslései közül a legvalószínűbbet kell alkalmaznia.</w:t>
            </w:r>
          </w:p>
        </w:tc>
      </w:tr>
      <w:tr w:rsidR="00FE6B4B" w:rsidRPr="00191B6F" w14:paraId="6AD6896F" w14:textId="77777777" w:rsidTr="00F71FAF">
        <w:trPr>
          <w:trHeight w:val="1544"/>
        </w:trPr>
        <w:tc>
          <w:tcPr>
            <w:tcW w:w="905" w:type="dxa"/>
            <w:shd w:val="clear" w:color="auto" w:fill="auto"/>
            <w:tcMar>
              <w:top w:w="85" w:type="dxa"/>
            </w:tcMar>
            <w:vAlign w:val="center"/>
          </w:tcPr>
          <w:p w14:paraId="5EDB683B" w14:textId="77777777" w:rsidR="00FE6B4B" w:rsidRPr="00191B6F" w:rsidRDefault="00FE6B4B" w:rsidP="00D16669">
            <w:pPr>
              <w:contextualSpacing/>
              <w:rPr>
                <w:rFonts w:ascii="Arial" w:hAnsi="Arial" w:cs="Arial"/>
                <w:sz w:val="20"/>
                <w:szCs w:val="20"/>
              </w:rPr>
            </w:pPr>
            <w:r>
              <w:rPr>
                <w:rFonts w:ascii="Arial" w:hAnsi="Arial" w:cs="Arial"/>
                <w:sz w:val="20"/>
                <w:szCs w:val="20"/>
              </w:rPr>
              <w:t>060</w:t>
            </w:r>
          </w:p>
        </w:tc>
        <w:tc>
          <w:tcPr>
            <w:tcW w:w="3456" w:type="dxa"/>
            <w:shd w:val="clear" w:color="auto" w:fill="auto"/>
            <w:tcMar>
              <w:top w:w="85" w:type="dxa"/>
            </w:tcMar>
            <w:vAlign w:val="center"/>
          </w:tcPr>
          <w:p w14:paraId="223A930D" w14:textId="32A83475" w:rsidR="00FE6B4B" w:rsidRPr="00191B6F" w:rsidRDefault="00FE6B4B" w:rsidP="00D16669">
            <w:pPr>
              <w:contextualSpacing/>
              <w:rPr>
                <w:rFonts w:ascii="Arial" w:hAnsi="Arial" w:cs="Arial"/>
                <w:sz w:val="20"/>
                <w:szCs w:val="20"/>
              </w:rPr>
            </w:pPr>
            <w:r>
              <w:rPr>
                <w:rFonts w:ascii="Arial" w:hAnsi="Arial" w:cs="Arial"/>
                <w:sz w:val="20"/>
                <w:szCs w:val="20"/>
              </w:rPr>
              <w:t>Megjegyzések</w:t>
            </w:r>
          </w:p>
        </w:tc>
        <w:tc>
          <w:tcPr>
            <w:tcW w:w="5103" w:type="dxa"/>
            <w:shd w:val="clear" w:color="auto" w:fill="auto"/>
            <w:tcMar>
              <w:top w:w="85" w:type="dxa"/>
            </w:tcMar>
            <w:vAlign w:val="center"/>
          </w:tcPr>
          <w:p w14:paraId="54E12355" w14:textId="77777777" w:rsidR="00C129B1" w:rsidRPr="00B2610A" w:rsidRDefault="00FE6B4B" w:rsidP="00F71FAF">
            <w:pPr>
              <w:pStyle w:val="Default"/>
              <w:spacing w:before="143" w:after="143"/>
              <w:rPr>
                <w:rFonts w:ascii="Arial" w:hAnsi="Arial" w:cs="Arial"/>
                <w:sz w:val="20"/>
                <w:szCs w:val="20"/>
              </w:rPr>
            </w:pPr>
            <w:r w:rsidRPr="00B2610A">
              <w:rPr>
                <w:rFonts w:ascii="Arial" w:hAnsi="Arial" w:cs="Arial"/>
                <w:sz w:val="20"/>
                <w:szCs w:val="20"/>
              </w:rPr>
              <w:t xml:space="preserve">Kitöltése kötelező. Itt kell ismertetni a termékek részletes leírását. </w:t>
            </w:r>
            <w:r w:rsidR="00C129B1" w:rsidRPr="00B2610A">
              <w:rPr>
                <w:rFonts w:ascii="Arial" w:hAnsi="Arial" w:cs="Arial"/>
                <w:sz w:val="20"/>
                <w:szCs w:val="20"/>
              </w:rPr>
              <w:t xml:space="preserve">A kiegészítő információknak tartalmazniuk kell legalább a termékek szerkezetére, az egyes termékek mennyiségére, a másik szerződő felekre, a lejáratokra és az első kibocsátás dátumára vonatkozó részleteket. </w:t>
            </w:r>
          </w:p>
          <w:p w14:paraId="3C282314" w14:textId="7B02DE02" w:rsidR="00FE6B4B" w:rsidRPr="00191B6F" w:rsidRDefault="00FE6B4B">
            <w:pPr>
              <w:jc w:val="both"/>
              <w:rPr>
                <w:rFonts w:ascii="Arial" w:hAnsi="Arial" w:cs="Arial"/>
                <w:sz w:val="20"/>
                <w:szCs w:val="20"/>
              </w:rPr>
            </w:pPr>
          </w:p>
        </w:tc>
      </w:tr>
    </w:tbl>
    <w:p w14:paraId="436358FE" w14:textId="77777777" w:rsidR="00FE6B4B" w:rsidRDefault="00FE6B4B" w:rsidP="00FE6B4B">
      <w:pPr>
        <w:rPr>
          <w:rFonts w:ascii="Arial" w:hAnsi="Arial" w:cs="Arial"/>
          <w:b/>
          <w:sz w:val="20"/>
          <w:szCs w:val="20"/>
        </w:rPr>
      </w:pPr>
    </w:p>
    <w:p w14:paraId="5559D0E1" w14:textId="77777777" w:rsidR="00FE6B4B" w:rsidRDefault="00FE6B4B" w:rsidP="00FE6B4B">
      <w:pPr>
        <w:rPr>
          <w:rFonts w:ascii="Arial" w:hAnsi="Arial" w:cs="Arial"/>
          <w:b/>
          <w:sz w:val="20"/>
          <w:szCs w:val="20"/>
        </w:rPr>
      </w:pPr>
    </w:p>
    <w:p w14:paraId="71AF21F3" w14:textId="4AAD2CEF" w:rsidR="00FE6B4B" w:rsidRDefault="0062780E" w:rsidP="00FE6B4B">
      <w:pPr>
        <w:rPr>
          <w:rFonts w:ascii="Arial" w:hAnsi="Arial" w:cs="Arial"/>
          <w:b/>
          <w:sz w:val="20"/>
          <w:szCs w:val="20"/>
        </w:rPr>
      </w:pPr>
      <w:r>
        <w:rPr>
          <w:rFonts w:ascii="Arial" w:hAnsi="Arial" w:cs="Arial"/>
          <w:b/>
          <w:sz w:val="20"/>
          <w:szCs w:val="20"/>
        </w:rPr>
        <w:t xml:space="preserve">7. </w:t>
      </w:r>
      <w:r w:rsidR="00FE6B4B" w:rsidRPr="001B098C">
        <w:rPr>
          <w:rFonts w:ascii="Arial" w:hAnsi="Arial" w:cs="Arial"/>
          <w:b/>
          <w:sz w:val="20"/>
          <w:szCs w:val="20"/>
        </w:rPr>
        <w:t>P</w:t>
      </w:r>
      <w:r w:rsidR="00857983">
        <w:rPr>
          <w:rFonts w:ascii="Arial" w:hAnsi="Arial" w:cs="Arial"/>
          <w:b/>
          <w:sz w:val="20"/>
          <w:szCs w:val="20"/>
        </w:rPr>
        <w:t>_</w:t>
      </w:r>
      <w:r w:rsidR="00FE6B4B">
        <w:rPr>
          <w:rFonts w:ascii="Arial" w:hAnsi="Arial" w:cs="Arial"/>
          <w:b/>
          <w:sz w:val="20"/>
          <w:szCs w:val="20"/>
        </w:rPr>
        <w:t xml:space="preserve">02.04 Finanszírozási terv </w:t>
      </w:r>
      <w:r w:rsidR="008E3A5A">
        <w:rPr>
          <w:rFonts w:ascii="Arial" w:hAnsi="Arial" w:cs="Arial"/>
          <w:b/>
          <w:caps/>
          <w:sz w:val="20"/>
          <w:szCs w:val="20"/>
          <w:lang w:val="en-US" w:eastAsia="en-GB"/>
        </w:rPr>
        <w:t>–</w:t>
      </w:r>
      <w:r w:rsidR="00FE6B4B">
        <w:rPr>
          <w:rFonts w:ascii="Arial" w:hAnsi="Arial" w:cs="Arial"/>
          <w:b/>
          <w:sz w:val="20"/>
          <w:szCs w:val="20"/>
        </w:rPr>
        <w:t xml:space="preserve"> Árazás: Hitelállomány</w:t>
      </w:r>
    </w:p>
    <w:p w14:paraId="20979E9C" w14:textId="77777777" w:rsidR="00A76AAD" w:rsidRDefault="00A76AAD" w:rsidP="00847D57">
      <w:pPr>
        <w:rPr>
          <w:rFonts w:ascii="Arial" w:hAnsi="Arial" w:cs="Arial"/>
          <w:b/>
          <w:sz w:val="20"/>
          <w:szCs w:val="20"/>
        </w:rPr>
      </w:pPr>
    </w:p>
    <w:p w14:paraId="7CEC3F9A" w14:textId="73FE9CC2" w:rsidR="00FE6B4B" w:rsidRPr="00B2610A" w:rsidRDefault="00FE6B4B" w:rsidP="00B2610A">
      <w:pPr>
        <w:pStyle w:val="Default"/>
        <w:jc w:val="both"/>
      </w:pPr>
      <w:r w:rsidRPr="002475F9">
        <w:rPr>
          <w:rFonts w:ascii="Arial" w:hAnsi="Arial" w:cs="Arial"/>
          <w:sz w:val="20"/>
          <w:szCs w:val="20"/>
        </w:rPr>
        <w:t xml:space="preserve">Ebben a táblában a soronként definiált állomány átlagos évesített teljes költség mutatójának állománnyal </w:t>
      </w:r>
      <w:r w:rsidR="00E85B5E">
        <w:rPr>
          <w:rFonts w:ascii="Arial" w:hAnsi="Arial" w:cs="Arial"/>
          <w:sz w:val="20"/>
          <w:szCs w:val="20"/>
        </w:rPr>
        <w:t>(</w:t>
      </w:r>
      <w:r w:rsidR="00E85B5E" w:rsidRPr="00B2610A">
        <w:rPr>
          <w:rFonts w:ascii="Arial" w:hAnsi="Arial" w:cs="Arial"/>
          <w:sz w:val="20"/>
          <w:szCs w:val="20"/>
        </w:rPr>
        <w:t xml:space="preserve">egyes évek végén fennálló </w:t>
      </w:r>
      <w:r w:rsidR="00E85B5E">
        <w:rPr>
          <w:rFonts w:ascii="Arial" w:hAnsi="Arial" w:cs="Arial"/>
          <w:sz w:val="20"/>
          <w:szCs w:val="20"/>
        </w:rPr>
        <w:t xml:space="preserve">könyv szerinti értékkel) </w:t>
      </w:r>
      <w:r w:rsidRPr="002475F9">
        <w:rPr>
          <w:rFonts w:ascii="Arial" w:hAnsi="Arial" w:cs="Arial"/>
          <w:sz w:val="20"/>
          <w:szCs w:val="20"/>
        </w:rPr>
        <w:t>súlyozott átlagos értékét kell jelenteni (százalékos érték, egységnyi értékben kifejezve, négy tizedesjegy pontossággal).</w:t>
      </w:r>
      <w:r w:rsidR="00615FD8" w:rsidRPr="00615FD8">
        <w:rPr>
          <w:rFonts w:ascii="Arial" w:hAnsi="Arial" w:cs="Arial"/>
          <w:sz w:val="20"/>
          <w:szCs w:val="20"/>
        </w:rPr>
        <w:t xml:space="preserve"> </w:t>
      </w:r>
      <w:r w:rsidR="00D475AB">
        <w:rPr>
          <w:rFonts w:ascii="Arial" w:hAnsi="Arial" w:cs="Arial"/>
          <w:sz w:val="20"/>
          <w:szCs w:val="20"/>
        </w:rPr>
        <w:t>A h</w:t>
      </w:r>
      <w:r w:rsidR="00615FD8" w:rsidRPr="00615FD8">
        <w:rPr>
          <w:rFonts w:ascii="Arial" w:hAnsi="Arial" w:cs="Arial"/>
          <w:sz w:val="20"/>
          <w:szCs w:val="20"/>
        </w:rPr>
        <w:t>itelállomány árazásakor a súlyozásba a forint</w:t>
      </w:r>
      <w:r w:rsidR="002D691F">
        <w:rPr>
          <w:rFonts w:ascii="Arial" w:hAnsi="Arial" w:cs="Arial"/>
          <w:sz w:val="20"/>
          <w:szCs w:val="20"/>
        </w:rPr>
        <w:t>ban fennálló</w:t>
      </w:r>
      <w:r w:rsidR="00615FD8" w:rsidRPr="00615FD8">
        <w:rPr>
          <w:rFonts w:ascii="Arial" w:hAnsi="Arial" w:cs="Arial"/>
          <w:sz w:val="20"/>
          <w:szCs w:val="20"/>
        </w:rPr>
        <w:t xml:space="preserve"> állományon kívül a </w:t>
      </w:r>
      <w:r w:rsidR="002D691F">
        <w:rPr>
          <w:rFonts w:ascii="Arial" w:hAnsi="Arial" w:cs="Arial"/>
          <w:sz w:val="20"/>
          <w:szCs w:val="20"/>
        </w:rPr>
        <w:t>külföldi</w:t>
      </w:r>
      <w:r w:rsidR="00615FD8" w:rsidRPr="00615FD8">
        <w:rPr>
          <w:rFonts w:ascii="Arial" w:hAnsi="Arial" w:cs="Arial"/>
          <w:sz w:val="20"/>
          <w:szCs w:val="20"/>
        </w:rPr>
        <w:t xml:space="preserve"> </w:t>
      </w:r>
      <w:r w:rsidR="002D691F">
        <w:rPr>
          <w:rFonts w:ascii="Arial" w:hAnsi="Arial" w:cs="Arial"/>
          <w:sz w:val="20"/>
          <w:szCs w:val="20"/>
        </w:rPr>
        <w:t>pénz</w:t>
      </w:r>
      <w:r w:rsidR="00615FD8" w:rsidRPr="00615FD8">
        <w:rPr>
          <w:rFonts w:ascii="Arial" w:hAnsi="Arial" w:cs="Arial"/>
          <w:sz w:val="20"/>
          <w:szCs w:val="20"/>
        </w:rPr>
        <w:t>nemben fennálló állományok bevonása is szükséges oly módon</w:t>
      </w:r>
      <w:r w:rsidR="00E84784">
        <w:rPr>
          <w:rFonts w:ascii="Arial" w:hAnsi="Arial" w:cs="Arial"/>
          <w:sz w:val="20"/>
          <w:szCs w:val="20"/>
        </w:rPr>
        <w:t>,</w:t>
      </w:r>
      <w:r w:rsidR="00615FD8" w:rsidRPr="00615FD8">
        <w:rPr>
          <w:rFonts w:ascii="Arial" w:hAnsi="Arial" w:cs="Arial"/>
          <w:sz w:val="20"/>
          <w:szCs w:val="20"/>
        </w:rPr>
        <w:t xml:space="preserve"> hogy </w:t>
      </w:r>
      <w:r w:rsidR="002D691F" w:rsidRPr="00615FD8">
        <w:rPr>
          <w:rFonts w:ascii="Arial" w:hAnsi="Arial" w:cs="Arial"/>
          <w:sz w:val="20"/>
          <w:szCs w:val="20"/>
        </w:rPr>
        <w:t xml:space="preserve">az átlag kiszámításához </w:t>
      </w:r>
      <w:r w:rsidR="00615FD8" w:rsidRPr="00615FD8">
        <w:rPr>
          <w:rFonts w:ascii="Arial" w:hAnsi="Arial" w:cs="Arial"/>
          <w:sz w:val="20"/>
          <w:szCs w:val="20"/>
        </w:rPr>
        <w:t xml:space="preserve">az egyedi ügyletek mutatóit a hozzájuk tartozó ügyletek forintra átszámított </w:t>
      </w:r>
      <w:r w:rsidR="00E85B5E">
        <w:rPr>
          <w:rFonts w:ascii="Arial" w:hAnsi="Arial" w:cs="Arial"/>
          <w:sz w:val="20"/>
          <w:szCs w:val="20"/>
        </w:rPr>
        <w:t xml:space="preserve">könyv szerinti értékével </w:t>
      </w:r>
      <w:r w:rsidR="00615FD8" w:rsidRPr="00615FD8">
        <w:rPr>
          <w:rFonts w:ascii="Arial" w:hAnsi="Arial" w:cs="Arial"/>
          <w:sz w:val="20"/>
          <w:szCs w:val="20"/>
        </w:rPr>
        <w:t>kell súlyozni.</w:t>
      </w:r>
    </w:p>
    <w:p w14:paraId="0E50F461" w14:textId="0B349C71" w:rsidR="00FE6B4B" w:rsidRDefault="00FE6B4B" w:rsidP="00FE6B4B">
      <w:pPr>
        <w:rPr>
          <w:rFonts w:ascii="Arial" w:hAnsi="Arial" w:cs="Arial"/>
          <w:sz w:val="20"/>
          <w:szCs w:val="20"/>
        </w:rPr>
      </w:pPr>
    </w:p>
    <w:p w14:paraId="7C626095" w14:textId="50F0FEE1" w:rsidR="00A76AAD" w:rsidRPr="00C358C4" w:rsidRDefault="006B36F4" w:rsidP="00FE6B4B">
      <w:pPr>
        <w:rPr>
          <w:rFonts w:ascii="Arial" w:hAnsi="Arial" w:cs="Arial"/>
          <w:b/>
          <w:bCs/>
          <w:sz w:val="20"/>
          <w:szCs w:val="20"/>
        </w:rPr>
      </w:pPr>
      <w:r w:rsidRPr="00883E29">
        <w:rPr>
          <w:rFonts w:ascii="Arial" w:hAnsi="Arial" w:cs="Arial"/>
          <w:b/>
          <w:bCs/>
          <w:sz w:val="20"/>
          <w:szCs w:val="20"/>
        </w:rPr>
        <w:t>A tábla</w:t>
      </w:r>
      <w:r w:rsidRPr="00883E29">
        <w:rPr>
          <w:rFonts w:ascii="Arial" w:hAnsi="Arial" w:cs="Arial"/>
          <w:sz w:val="20"/>
          <w:szCs w:val="20"/>
        </w:rPr>
        <w:t xml:space="preserve"> </w:t>
      </w:r>
      <w:r w:rsidRPr="00C358C4">
        <w:rPr>
          <w:rFonts w:ascii="Arial" w:hAnsi="Arial" w:cs="Arial"/>
          <w:b/>
          <w:bCs/>
          <w:sz w:val="20"/>
          <w:szCs w:val="20"/>
        </w:rPr>
        <w:t>sorai</w:t>
      </w:r>
    </w:p>
    <w:p w14:paraId="58030A1B" w14:textId="77777777" w:rsidR="00A76AAD" w:rsidRPr="001B098C" w:rsidRDefault="00A76AAD" w:rsidP="00FE6B4B">
      <w:pPr>
        <w:rPr>
          <w:rFonts w:ascii="Arial" w:hAnsi="Arial" w:cs="Arial"/>
          <w:sz w:val="20"/>
          <w:szCs w:val="20"/>
        </w:rPr>
      </w:pPr>
    </w:p>
    <w:tbl>
      <w:tblPr>
        <w:tblW w:w="9464" w:type="dxa"/>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Layout w:type="fixed"/>
        <w:tblLook w:val="04A0" w:firstRow="1" w:lastRow="0" w:firstColumn="1" w:lastColumn="0" w:noHBand="0" w:noVBand="1"/>
      </w:tblPr>
      <w:tblGrid>
        <w:gridCol w:w="959"/>
        <w:gridCol w:w="1276"/>
        <w:gridCol w:w="3714"/>
        <w:gridCol w:w="3515"/>
      </w:tblGrid>
      <w:tr w:rsidR="00FE6B4B" w:rsidRPr="00191B6F" w14:paraId="4C1EAE62" w14:textId="77777777" w:rsidTr="00387EA5">
        <w:tc>
          <w:tcPr>
            <w:tcW w:w="959" w:type="dxa"/>
            <w:shd w:val="clear" w:color="auto" w:fill="auto"/>
            <w:tcMar>
              <w:top w:w="85" w:type="dxa"/>
            </w:tcMar>
            <w:vAlign w:val="center"/>
          </w:tcPr>
          <w:p w14:paraId="52BBE369" w14:textId="77777777" w:rsidR="00FE6B4B" w:rsidRPr="0091468E" w:rsidRDefault="00FE6B4B" w:rsidP="00D16669">
            <w:pPr>
              <w:contextualSpacing/>
              <w:jc w:val="center"/>
              <w:rPr>
                <w:rFonts w:ascii="Arial" w:hAnsi="Arial" w:cs="Arial"/>
                <w:b/>
                <w:sz w:val="20"/>
                <w:szCs w:val="20"/>
              </w:rPr>
            </w:pPr>
            <w:r>
              <w:rPr>
                <w:rFonts w:ascii="Arial" w:hAnsi="Arial" w:cs="Arial"/>
                <w:b/>
                <w:sz w:val="20"/>
                <w:szCs w:val="20"/>
              </w:rPr>
              <w:t>Sorkód</w:t>
            </w:r>
          </w:p>
        </w:tc>
        <w:tc>
          <w:tcPr>
            <w:tcW w:w="1276" w:type="dxa"/>
            <w:vAlign w:val="center"/>
          </w:tcPr>
          <w:p w14:paraId="0D101980" w14:textId="77777777" w:rsidR="00FE6B4B" w:rsidRPr="0091468E" w:rsidRDefault="00FE6B4B" w:rsidP="00D16669">
            <w:pPr>
              <w:contextualSpacing/>
              <w:jc w:val="center"/>
              <w:rPr>
                <w:rFonts w:ascii="Arial" w:hAnsi="Arial" w:cs="Arial"/>
                <w:b/>
                <w:sz w:val="20"/>
                <w:szCs w:val="20"/>
              </w:rPr>
            </w:pPr>
            <w:r>
              <w:rPr>
                <w:rFonts w:ascii="Arial" w:hAnsi="Arial" w:cs="Arial"/>
                <w:b/>
                <w:sz w:val="20"/>
                <w:szCs w:val="20"/>
              </w:rPr>
              <w:t>Hierarchia</w:t>
            </w:r>
          </w:p>
        </w:tc>
        <w:tc>
          <w:tcPr>
            <w:tcW w:w="3714" w:type="dxa"/>
            <w:shd w:val="clear" w:color="auto" w:fill="auto"/>
            <w:tcMar>
              <w:top w:w="85" w:type="dxa"/>
            </w:tcMar>
            <w:vAlign w:val="center"/>
          </w:tcPr>
          <w:p w14:paraId="3DAEFB9F" w14:textId="77777777" w:rsidR="00FE6B4B" w:rsidRPr="0091468E" w:rsidRDefault="00FE6B4B" w:rsidP="00D16669">
            <w:pPr>
              <w:contextualSpacing/>
              <w:jc w:val="center"/>
              <w:rPr>
                <w:rFonts w:ascii="Arial" w:hAnsi="Arial" w:cs="Arial"/>
                <w:b/>
                <w:sz w:val="20"/>
                <w:szCs w:val="20"/>
              </w:rPr>
            </w:pPr>
            <w:r w:rsidRPr="0091468E">
              <w:rPr>
                <w:rFonts w:ascii="Arial" w:hAnsi="Arial" w:cs="Arial"/>
                <w:b/>
                <w:sz w:val="20"/>
                <w:szCs w:val="20"/>
              </w:rPr>
              <w:t>Megnevezés</w:t>
            </w:r>
          </w:p>
        </w:tc>
        <w:tc>
          <w:tcPr>
            <w:tcW w:w="3515" w:type="dxa"/>
            <w:shd w:val="clear" w:color="auto" w:fill="auto"/>
            <w:tcMar>
              <w:top w:w="85" w:type="dxa"/>
            </w:tcMar>
            <w:vAlign w:val="center"/>
          </w:tcPr>
          <w:p w14:paraId="7CF7DE78" w14:textId="77777777" w:rsidR="00FE6B4B" w:rsidRPr="00191B6F" w:rsidRDefault="00FE6B4B" w:rsidP="00D16669">
            <w:pPr>
              <w:contextualSpacing/>
              <w:jc w:val="center"/>
              <w:rPr>
                <w:rFonts w:ascii="Arial" w:hAnsi="Arial" w:cs="Arial"/>
                <w:sz w:val="20"/>
                <w:szCs w:val="20"/>
              </w:rPr>
            </w:pPr>
            <w:r w:rsidRPr="00191B6F">
              <w:rPr>
                <w:rFonts w:ascii="Arial" w:hAnsi="Arial" w:cs="Arial"/>
                <w:b/>
                <w:sz w:val="20"/>
                <w:szCs w:val="20"/>
              </w:rPr>
              <w:t>Hivatkozások jogszabályokra és megjegyzések</w:t>
            </w:r>
          </w:p>
        </w:tc>
      </w:tr>
      <w:tr w:rsidR="00FE6B4B" w:rsidRPr="00191B6F" w14:paraId="22EE4E84" w14:textId="77777777" w:rsidTr="00387EA5">
        <w:tc>
          <w:tcPr>
            <w:tcW w:w="959" w:type="dxa"/>
            <w:shd w:val="clear" w:color="auto" w:fill="auto"/>
            <w:tcMar>
              <w:top w:w="85" w:type="dxa"/>
            </w:tcMar>
            <w:vAlign w:val="center"/>
          </w:tcPr>
          <w:p w14:paraId="5014CB21" w14:textId="77777777" w:rsidR="00FE6B4B" w:rsidRPr="00191B6F" w:rsidRDefault="00FE6B4B" w:rsidP="00D16669">
            <w:pPr>
              <w:contextualSpacing/>
              <w:rPr>
                <w:rFonts w:ascii="Arial" w:hAnsi="Arial" w:cs="Arial"/>
                <w:sz w:val="20"/>
                <w:szCs w:val="20"/>
              </w:rPr>
            </w:pPr>
            <w:r>
              <w:rPr>
                <w:rFonts w:ascii="Arial" w:hAnsi="Arial" w:cs="Arial"/>
                <w:sz w:val="20"/>
                <w:szCs w:val="20"/>
              </w:rPr>
              <w:t>010</w:t>
            </w:r>
          </w:p>
        </w:tc>
        <w:tc>
          <w:tcPr>
            <w:tcW w:w="1276" w:type="dxa"/>
            <w:vAlign w:val="center"/>
          </w:tcPr>
          <w:p w14:paraId="48C18F8C" w14:textId="77777777" w:rsidR="00FE6B4B" w:rsidRDefault="00FE6B4B" w:rsidP="00D16669">
            <w:pPr>
              <w:contextualSpacing/>
              <w:rPr>
                <w:rFonts w:ascii="Arial" w:hAnsi="Arial" w:cs="Arial"/>
                <w:sz w:val="20"/>
                <w:szCs w:val="20"/>
              </w:rPr>
            </w:pPr>
            <w:r w:rsidRPr="00AA49E0">
              <w:rPr>
                <w:rFonts w:ascii="Arial" w:hAnsi="Arial" w:cs="Arial"/>
                <w:sz w:val="20"/>
                <w:szCs w:val="20"/>
              </w:rPr>
              <w:t>1.1.</w:t>
            </w:r>
          </w:p>
        </w:tc>
        <w:tc>
          <w:tcPr>
            <w:tcW w:w="3714" w:type="dxa"/>
            <w:shd w:val="clear" w:color="auto" w:fill="auto"/>
            <w:tcMar>
              <w:top w:w="85" w:type="dxa"/>
            </w:tcMar>
            <w:vAlign w:val="center"/>
          </w:tcPr>
          <w:p w14:paraId="44ACD08A" w14:textId="3B21DF6C" w:rsidR="00FE6B4B" w:rsidRPr="00191B6F" w:rsidRDefault="00FE6B4B" w:rsidP="00387EA5">
            <w:pPr>
              <w:contextualSpacing/>
              <w:jc w:val="both"/>
              <w:rPr>
                <w:rFonts w:ascii="Arial" w:hAnsi="Arial" w:cs="Arial"/>
                <w:sz w:val="20"/>
                <w:szCs w:val="20"/>
              </w:rPr>
            </w:pPr>
            <w:r>
              <w:rPr>
                <w:rFonts w:ascii="Arial" w:hAnsi="Arial" w:cs="Arial"/>
                <w:sz w:val="20"/>
                <w:szCs w:val="20"/>
              </w:rPr>
              <w:t>Háztartásoknak nyújtott hitelek</w:t>
            </w:r>
            <w:r w:rsidR="00342115">
              <w:rPr>
                <w:rFonts w:ascii="Arial" w:hAnsi="Arial" w:cs="Arial"/>
                <w:sz w:val="20"/>
                <w:szCs w:val="20"/>
              </w:rPr>
              <w:t xml:space="preserve"> és előlegek </w:t>
            </w:r>
            <w:r>
              <w:rPr>
                <w:rFonts w:ascii="Arial" w:hAnsi="Arial" w:cs="Arial"/>
                <w:sz w:val="20"/>
                <w:szCs w:val="20"/>
              </w:rPr>
              <w:t>(fordított</w:t>
            </w:r>
            <w:r w:rsidR="00342115">
              <w:rPr>
                <w:rFonts w:ascii="Arial" w:hAnsi="Arial" w:cs="Arial"/>
                <w:sz w:val="20"/>
                <w:szCs w:val="20"/>
              </w:rPr>
              <w:t xml:space="preserve"> visszavásárlási hitelek kivételével</w:t>
            </w:r>
            <w:r>
              <w:rPr>
                <w:rFonts w:ascii="Arial" w:hAnsi="Arial" w:cs="Arial"/>
                <w:sz w:val="20"/>
                <w:szCs w:val="20"/>
              </w:rPr>
              <w:t>)</w:t>
            </w:r>
          </w:p>
        </w:tc>
        <w:tc>
          <w:tcPr>
            <w:tcW w:w="3515" w:type="dxa"/>
            <w:shd w:val="clear" w:color="auto" w:fill="auto"/>
            <w:tcMar>
              <w:top w:w="85" w:type="dxa"/>
            </w:tcMar>
            <w:vAlign w:val="center"/>
          </w:tcPr>
          <w:p w14:paraId="34C92071" w14:textId="77777777" w:rsidR="00FE6B4B" w:rsidRPr="00191B6F" w:rsidRDefault="00FE6B4B" w:rsidP="00D16669">
            <w:pPr>
              <w:contextualSpacing/>
              <w:rPr>
                <w:rFonts w:ascii="Arial" w:hAnsi="Arial" w:cs="Arial"/>
                <w:sz w:val="20"/>
                <w:szCs w:val="20"/>
              </w:rPr>
            </w:pPr>
            <w:r>
              <w:rPr>
                <w:rFonts w:ascii="Arial" w:hAnsi="Arial" w:cs="Arial"/>
                <w:sz w:val="20"/>
                <w:szCs w:val="20"/>
              </w:rPr>
              <w:t>lásd P</w:t>
            </w:r>
            <w:r w:rsidR="00857983">
              <w:rPr>
                <w:rFonts w:ascii="Arial" w:hAnsi="Arial" w:cs="Arial"/>
                <w:sz w:val="20"/>
                <w:szCs w:val="20"/>
              </w:rPr>
              <w:t>_</w:t>
            </w:r>
            <w:r>
              <w:rPr>
                <w:rFonts w:ascii="Arial" w:hAnsi="Arial" w:cs="Arial"/>
                <w:sz w:val="20"/>
                <w:szCs w:val="20"/>
              </w:rPr>
              <w:t>01.01. tábla 030. sor</w:t>
            </w:r>
          </w:p>
        </w:tc>
      </w:tr>
      <w:tr w:rsidR="00FE6B4B" w:rsidRPr="00191B6F" w14:paraId="6B768103" w14:textId="77777777" w:rsidTr="00387EA5">
        <w:tc>
          <w:tcPr>
            <w:tcW w:w="959" w:type="dxa"/>
            <w:shd w:val="clear" w:color="auto" w:fill="auto"/>
            <w:tcMar>
              <w:top w:w="85" w:type="dxa"/>
            </w:tcMar>
            <w:vAlign w:val="center"/>
          </w:tcPr>
          <w:p w14:paraId="2B46F206" w14:textId="77777777" w:rsidR="00FE6B4B" w:rsidRPr="00191B6F" w:rsidRDefault="00FE6B4B" w:rsidP="00D16669">
            <w:pPr>
              <w:contextualSpacing/>
              <w:rPr>
                <w:rFonts w:ascii="Arial" w:hAnsi="Arial" w:cs="Arial"/>
                <w:sz w:val="20"/>
                <w:szCs w:val="20"/>
              </w:rPr>
            </w:pPr>
            <w:r>
              <w:rPr>
                <w:rFonts w:ascii="Arial" w:hAnsi="Arial" w:cs="Arial"/>
                <w:sz w:val="20"/>
                <w:szCs w:val="20"/>
              </w:rPr>
              <w:t>020</w:t>
            </w:r>
          </w:p>
        </w:tc>
        <w:tc>
          <w:tcPr>
            <w:tcW w:w="1276" w:type="dxa"/>
            <w:vAlign w:val="center"/>
          </w:tcPr>
          <w:p w14:paraId="5BBFA260" w14:textId="77777777" w:rsidR="00FE6B4B" w:rsidRDefault="00FE6B4B" w:rsidP="00D16669">
            <w:pPr>
              <w:contextualSpacing/>
              <w:rPr>
                <w:rFonts w:ascii="Arial" w:hAnsi="Arial" w:cs="Arial"/>
                <w:sz w:val="20"/>
                <w:szCs w:val="20"/>
              </w:rPr>
            </w:pPr>
            <w:r w:rsidRPr="00AA49E0">
              <w:rPr>
                <w:rFonts w:ascii="Arial" w:hAnsi="Arial" w:cs="Arial"/>
                <w:sz w:val="20"/>
                <w:szCs w:val="20"/>
              </w:rPr>
              <w:t>1.1.1.</w:t>
            </w:r>
          </w:p>
        </w:tc>
        <w:tc>
          <w:tcPr>
            <w:tcW w:w="3714" w:type="dxa"/>
            <w:shd w:val="clear" w:color="auto" w:fill="auto"/>
            <w:tcMar>
              <w:top w:w="85" w:type="dxa"/>
            </w:tcMar>
            <w:vAlign w:val="center"/>
          </w:tcPr>
          <w:p w14:paraId="61C520AE" w14:textId="115B870A" w:rsidR="00FE6B4B" w:rsidRPr="00191B6F" w:rsidRDefault="00FE6B4B" w:rsidP="00D16669">
            <w:pPr>
              <w:contextualSpacing/>
              <w:rPr>
                <w:rFonts w:ascii="Arial" w:hAnsi="Arial" w:cs="Arial"/>
                <w:sz w:val="20"/>
                <w:szCs w:val="20"/>
              </w:rPr>
            </w:pPr>
            <w:r>
              <w:rPr>
                <w:rFonts w:ascii="Arial" w:hAnsi="Arial" w:cs="Arial"/>
                <w:sz w:val="20"/>
                <w:szCs w:val="20"/>
              </w:rPr>
              <w:t>Hazai tevékenység</w:t>
            </w:r>
            <w:r w:rsidR="00342115">
              <w:rPr>
                <w:rFonts w:ascii="Arial" w:hAnsi="Arial" w:cs="Arial"/>
                <w:sz w:val="20"/>
                <w:szCs w:val="20"/>
              </w:rPr>
              <w:t>ek</w:t>
            </w:r>
          </w:p>
        </w:tc>
        <w:tc>
          <w:tcPr>
            <w:tcW w:w="3515" w:type="dxa"/>
            <w:shd w:val="clear" w:color="auto" w:fill="auto"/>
            <w:tcMar>
              <w:top w:w="85" w:type="dxa"/>
            </w:tcMar>
            <w:vAlign w:val="center"/>
          </w:tcPr>
          <w:p w14:paraId="62838AF3" w14:textId="77777777" w:rsidR="00FE6B4B" w:rsidRPr="00191B6F" w:rsidRDefault="00FE6B4B" w:rsidP="00D16669">
            <w:pPr>
              <w:contextualSpacing/>
              <w:rPr>
                <w:rFonts w:ascii="Arial" w:hAnsi="Arial" w:cs="Arial"/>
                <w:sz w:val="20"/>
                <w:szCs w:val="20"/>
              </w:rPr>
            </w:pPr>
            <w:r>
              <w:rPr>
                <w:rFonts w:ascii="Arial" w:hAnsi="Arial" w:cs="Arial"/>
                <w:sz w:val="20"/>
                <w:szCs w:val="20"/>
              </w:rPr>
              <w:t>lásd P</w:t>
            </w:r>
            <w:r w:rsidR="00857983">
              <w:rPr>
                <w:rFonts w:ascii="Arial" w:hAnsi="Arial" w:cs="Arial"/>
                <w:sz w:val="20"/>
                <w:szCs w:val="20"/>
              </w:rPr>
              <w:t>_</w:t>
            </w:r>
            <w:r>
              <w:rPr>
                <w:rFonts w:ascii="Arial" w:hAnsi="Arial" w:cs="Arial"/>
                <w:sz w:val="20"/>
                <w:szCs w:val="20"/>
              </w:rPr>
              <w:t>01.01. tábla 040. sor</w:t>
            </w:r>
          </w:p>
        </w:tc>
      </w:tr>
      <w:tr w:rsidR="00342115" w:rsidRPr="00191B6F" w14:paraId="5462CE3D" w14:textId="77777777" w:rsidTr="00387EA5">
        <w:tc>
          <w:tcPr>
            <w:tcW w:w="959" w:type="dxa"/>
            <w:shd w:val="clear" w:color="auto" w:fill="auto"/>
            <w:tcMar>
              <w:top w:w="85" w:type="dxa"/>
            </w:tcMar>
            <w:vAlign w:val="center"/>
          </w:tcPr>
          <w:p w14:paraId="5E61F502" w14:textId="25112262" w:rsidR="00342115" w:rsidRPr="00191B6F" w:rsidRDefault="00342115" w:rsidP="00D16669">
            <w:pPr>
              <w:contextualSpacing/>
              <w:rPr>
                <w:rFonts w:ascii="Arial" w:hAnsi="Arial" w:cs="Arial"/>
                <w:sz w:val="20"/>
                <w:szCs w:val="20"/>
              </w:rPr>
            </w:pPr>
            <w:r>
              <w:rPr>
                <w:rFonts w:ascii="Arial" w:hAnsi="Arial" w:cs="Arial"/>
                <w:sz w:val="20"/>
                <w:szCs w:val="20"/>
              </w:rPr>
              <w:t>031</w:t>
            </w:r>
          </w:p>
        </w:tc>
        <w:tc>
          <w:tcPr>
            <w:tcW w:w="1276" w:type="dxa"/>
            <w:vAlign w:val="center"/>
          </w:tcPr>
          <w:p w14:paraId="6F013C35" w14:textId="0F0F4AF1" w:rsidR="00342115" w:rsidRPr="00AA49E0" w:rsidRDefault="00342115" w:rsidP="00D16669">
            <w:pPr>
              <w:contextualSpacing/>
              <w:rPr>
                <w:rFonts w:ascii="Arial" w:hAnsi="Arial" w:cs="Arial"/>
                <w:sz w:val="20"/>
                <w:szCs w:val="20"/>
              </w:rPr>
            </w:pPr>
            <w:r>
              <w:rPr>
                <w:rFonts w:ascii="Arial" w:hAnsi="Arial" w:cs="Arial"/>
                <w:sz w:val="20"/>
                <w:szCs w:val="20"/>
              </w:rPr>
              <w:t>1.</w:t>
            </w:r>
            <w:r w:rsidR="00E36DB5">
              <w:rPr>
                <w:rFonts w:ascii="Arial" w:hAnsi="Arial" w:cs="Arial"/>
                <w:sz w:val="20"/>
                <w:szCs w:val="20"/>
              </w:rPr>
              <w:t>1</w:t>
            </w:r>
            <w:r>
              <w:rPr>
                <w:rFonts w:ascii="Arial" w:hAnsi="Arial" w:cs="Arial"/>
                <w:sz w:val="20"/>
                <w:szCs w:val="20"/>
              </w:rPr>
              <w:t>.2.</w:t>
            </w:r>
          </w:p>
        </w:tc>
        <w:tc>
          <w:tcPr>
            <w:tcW w:w="3714" w:type="dxa"/>
            <w:shd w:val="clear" w:color="auto" w:fill="auto"/>
            <w:tcMar>
              <w:top w:w="85" w:type="dxa"/>
            </w:tcMar>
            <w:vAlign w:val="center"/>
          </w:tcPr>
          <w:p w14:paraId="1D6FA3C2" w14:textId="113FD5F4" w:rsidR="00342115" w:rsidRDefault="00342115" w:rsidP="00387EA5">
            <w:pPr>
              <w:contextualSpacing/>
              <w:jc w:val="both"/>
              <w:rPr>
                <w:rFonts w:ascii="Arial" w:hAnsi="Arial" w:cs="Arial"/>
                <w:sz w:val="20"/>
                <w:szCs w:val="20"/>
              </w:rPr>
            </w:pPr>
            <w:r w:rsidRPr="00342115">
              <w:rPr>
                <w:rFonts w:ascii="Arial" w:hAnsi="Arial" w:cs="Arial"/>
                <w:sz w:val="20"/>
                <w:szCs w:val="20"/>
              </w:rPr>
              <w:t>Más EGT</w:t>
            </w:r>
            <w:r w:rsidR="00930335">
              <w:rPr>
                <w:rFonts w:ascii="Arial" w:hAnsi="Arial" w:cs="Arial"/>
                <w:sz w:val="20"/>
                <w:szCs w:val="20"/>
              </w:rPr>
              <w:t>-</w:t>
            </w:r>
            <w:r w:rsidR="006B5E04">
              <w:rPr>
                <w:rFonts w:ascii="Arial" w:hAnsi="Arial" w:cs="Arial"/>
                <w:sz w:val="20"/>
                <w:szCs w:val="20"/>
              </w:rPr>
              <w:t>államok</w:t>
            </w:r>
            <w:r w:rsidRPr="00342115">
              <w:rPr>
                <w:rFonts w:ascii="Arial" w:hAnsi="Arial" w:cs="Arial"/>
                <w:sz w:val="20"/>
                <w:szCs w:val="20"/>
              </w:rPr>
              <w:t>ba</w:t>
            </w:r>
            <w:r w:rsidR="00CC5198">
              <w:rPr>
                <w:rFonts w:ascii="Arial" w:hAnsi="Arial" w:cs="Arial"/>
                <w:sz w:val="20"/>
                <w:szCs w:val="20"/>
              </w:rPr>
              <w:t>n</w:t>
            </w:r>
            <w:r w:rsidRPr="00342115">
              <w:rPr>
                <w:rFonts w:ascii="Arial" w:hAnsi="Arial" w:cs="Arial"/>
                <w:sz w:val="20"/>
                <w:szCs w:val="20"/>
              </w:rPr>
              <w:t xml:space="preserve"> végzett tevékenységek</w:t>
            </w:r>
          </w:p>
        </w:tc>
        <w:tc>
          <w:tcPr>
            <w:tcW w:w="3515" w:type="dxa"/>
            <w:shd w:val="clear" w:color="auto" w:fill="auto"/>
            <w:tcMar>
              <w:top w:w="85" w:type="dxa"/>
            </w:tcMar>
            <w:vAlign w:val="center"/>
          </w:tcPr>
          <w:p w14:paraId="5EEA0F88" w14:textId="32AF5262" w:rsidR="00342115" w:rsidRDefault="000B4917" w:rsidP="00D16669">
            <w:pPr>
              <w:contextualSpacing/>
              <w:rPr>
                <w:rFonts w:ascii="Arial" w:hAnsi="Arial" w:cs="Arial"/>
                <w:sz w:val="20"/>
                <w:szCs w:val="20"/>
              </w:rPr>
            </w:pPr>
            <w:r>
              <w:rPr>
                <w:rFonts w:ascii="Arial" w:hAnsi="Arial" w:cs="Arial"/>
                <w:sz w:val="20"/>
                <w:szCs w:val="20"/>
              </w:rPr>
              <w:t>lásd P_01.01. tábla 091. sor</w:t>
            </w:r>
          </w:p>
        </w:tc>
      </w:tr>
      <w:tr w:rsidR="00342115" w:rsidRPr="00191B6F" w14:paraId="4D89DC2E" w14:textId="77777777" w:rsidTr="00387EA5">
        <w:tc>
          <w:tcPr>
            <w:tcW w:w="959" w:type="dxa"/>
            <w:shd w:val="clear" w:color="auto" w:fill="auto"/>
            <w:tcMar>
              <w:top w:w="85" w:type="dxa"/>
            </w:tcMar>
            <w:vAlign w:val="center"/>
          </w:tcPr>
          <w:p w14:paraId="0590054E" w14:textId="7A80990F" w:rsidR="00342115" w:rsidRPr="00191B6F" w:rsidRDefault="00342115" w:rsidP="00D16669">
            <w:pPr>
              <w:contextualSpacing/>
              <w:rPr>
                <w:rFonts w:ascii="Arial" w:hAnsi="Arial" w:cs="Arial"/>
                <w:sz w:val="20"/>
                <w:szCs w:val="20"/>
              </w:rPr>
            </w:pPr>
            <w:r>
              <w:rPr>
                <w:rFonts w:ascii="Arial" w:hAnsi="Arial" w:cs="Arial"/>
                <w:sz w:val="20"/>
                <w:szCs w:val="20"/>
              </w:rPr>
              <w:t>032</w:t>
            </w:r>
          </w:p>
        </w:tc>
        <w:tc>
          <w:tcPr>
            <w:tcW w:w="1276" w:type="dxa"/>
            <w:vAlign w:val="center"/>
          </w:tcPr>
          <w:p w14:paraId="012821EF" w14:textId="0ED48C50" w:rsidR="00342115" w:rsidRPr="00AA49E0" w:rsidRDefault="00342115" w:rsidP="00D16669">
            <w:pPr>
              <w:contextualSpacing/>
              <w:rPr>
                <w:rFonts w:ascii="Arial" w:hAnsi="Arial" w:cs="Arial"/>
                <w:sz w:val="20"/>
                <w:szCs w:val="20"/>
              </w:rPr>
            </w:pPr>
            <w:r>
              <w:rPr>
                <w:rFonts w:ascii="Arial" w:hAnsi="Arial" w:cs="Arial"/>
                <w:sz w:val="20"/>
                <w:szCs w:val="20"/>
              </w:rPr>
              <w:t>1.</w:t>
            </w:r>
            <w:r w:rsidR="00E36DB5">
              <w:rPr>
                <w:rFonts w:ascii="Arial" w:hAnsi="Arial" w:cs="Arial"/>
                <w:sz w:val="20"/>
                <w:szCs w:val="20"/>
              </w:rPr>
              <w:t>1</w:t>
            </w:r>
            <w:r>
              <w:rPr>
                <w:rFonts w:ascii="Arial" w:hAnsi="Arial" w:cs="Arial"/>
                <w:sz w:val="20"/>
                <w:szCs w:val="20"/>
              </w:rPr>
              <w:t>.3</w:t>
            </w:r>
            <w:r w:rsidR="00521A47">
              <w:rPr>
                <w:rFonts w:ascii="Arial" w:hAnsi="Arial" w:cs="Arial"/>
                <w:sz w:val="20"/>
                <w:szCs w:val="20"/>
              </w:rPr>
              <w:t>.</w:t>
            </w:r>
          </w:p>
        </w:tc>
        <w:tc>
          <w:tcPr>
            <w:tcW w:w="3714" w:type="dxa"/>
            <w:shd w:val="clear" w:color="auto" w:fill="auto"/>
            <w:tcMar>
              <w:top w:w="85" w:type="dxa"/>
            </w:tcMar>
            <w:vAlign w:val="center"/>
          </w:tcPr>
          <w:p w14:paraId="7BAA81D2" w14:textId="5E8C0A04" w:rsidR="00342115" w:rsidRDefault="00CB54A6" w:rsidP="00387EA5">
            <w:pPr>
              <w:contextualSpacing/>
              <w:jc w:val="both"/>
              <w:rPr>
                <w:rFonts w:ascii="Arial" w:hAnsi="Arial" w:cs="Arial"/>
                <w:sz w:val="20"/>
                <w:szCs w:val="20"/>
              </w:rPr>
            </w:pPr>
            <w:r>
              <w:rPr>
                <w:rFonts w:ascii="Arial" w:hAnsi="Arial" w:cs="Arial"/>
                <w:sz w:val="20"/>
                <w:szCs w:val="20"/>
              </w:rPr>
              <w:t>Harmadik ország</w:t>
            </w:r>
            <w:r w:rsidR="00342115" w:rsidRPr="00342115">
              <w:rPr>
                <w:rFonts w:ascii="Arial" w:hAnsi="Arial" w:cs="Arial"/>
                <w:sz w:val="20"/>
                <w:szCs w:val="20"/>
              </w:rPr>
              <w:t>ban végzett tevékenységek</w:t>
            </w:r>
          </w:p>
        </w:tc>
        <w:tc>
          <w:tcPr>
            <w:tcW w:w="3515" w:type="dxa"/>
            <w:shd w:val="clear" w:color="auto" w:fill="auto"/>
            <w:tcMar>
              <w:top w:w="85" w:type="dxa"/>
            </w:tcMar>
            <w:vAlign w:val="center"/>
          </w:tcPr>
          <w:p w14:paraId="574357BD" w14:textId="39073785" w:rsidR="00342115" w:rsidRDefault="000B4917" w:rsidP="00D16669">
            <w:pPr>
              <w:contextualSpacing/>
              <w:rPr>
                <w:rFonts w:ascii="Arial" w:hAnsi="Arial" w:cs="Arial"/>
                <w:sz w:val="20"/>
                <w:szCs w:val="20"/>
              </w:rPr>
            </w:pPr>
            <w:r>
              <w:rPr>
                <w:rFonts w:ascii="Arial" w:hAnsi="Arial" w:cs="Arial"/>
                <w:sz w:val="20"/>
                <w:szCs w:val="20"/>
              </w:rPr>
              <w:t>lásd P_01.01. tábla 096. sor</w:t>
            </w:r>
          </w:p>
        </w:tc>
      </w:tr>
      <w:tr w:rsidR="00FE6B4B" w:rsidRPr="00191B6F" w14:paraId="536228DA" w14:textId="77777777" w:rsidTr="00387EA5">
        <w:tc>
          <w:tcPr>
            <w:tcW w:w="959" w:type="dxa"/>
            <w:shd w:val="clear" w:color="auto" w:fill="auto"/>
            <w:tcMar>
              <w:top w:w="85" w:type="dxa"/>
            </w:tcMar>
            <w:vAlign w:val="center"/>
          </w:tcPr>
          <w:p w14:paraId="3E388510" w14:textId="77777777" w:rsidR="00FE6B4B" w:rsidRPr="00191B6F" w:rsidRDefault="00FE6B4B" w:rsidP="00D16669">
            <w:pPr>
              <w:contextualSpacing/>
              <w:rPr>
                <w:rFonts w:ascii="Arial" w:hAnsi="Arial" w:cs="Arial"/>
                <w:sz w:val="20"/>
                <w:szCs w:val="20"/>
              </w:rPr>
            </w:pPr>
            <w:r>
              <w:rPr>
                <w:rFonts w:ascii="Arial" w:hAnsi="Arial" w:cs="Arial"/>
                <w:sz w:val="20"/>
                <w:szCs w:val="20"/>
              </w:rPr>
              <w:t>050</w:t>
            </w:r>
          </w:p>
        </w:tc>
        <w:tc>
          <w:tcPr>
            <w:tcW w:w="1276" w:type="dxa"/>
            <w:vAlign w:val="center"/>
          </w:tcPr>
          <w:p w14:paraId="19558591" w14:textId="675A3CB0" w:rsidR="00FE6B4B" w:rsidRDefault="00FE6B4B" w:rsidP="00D16669">
            <w:pPr>
              <w:contextualSpacing/>
              <w:rPr>
                <w:rFonts w:ascii="Arial" w:hAnsi="Arial" w:cs="Arial"/>
                <w:sz w:val="20"/>
                <w:szCs w:val="20"/>
              </w:rPr>
            </w:pPr>
            <w:r w:rsidRPr="00AA49E0">
              <w:rPr>
                <w:rFonts w:ascii="Arial" w:hAnsi="Arial" w:cs="Arial"/>
                <w:sz w:val="20"/>
                <w:szCs w:val="20"/>
              </w:rPr>
              <w:t>1.2.</w:t>
            </w:r>
          </w:p>
        </w:tc>
        <w:tc>
          <w:tcPr>
            <w:tcW w:w="3714" w:type="dxa"/>
            <w:shd w:val="clear" w:color="auto" w:fill="auto"/>
            <w:tcMar>
              <w:top w:w="85" w:type="dxa"/>
            </w:tcMar>
            <w:vAlign w:val="center"/>
          </w:tcPr>
          <w:p w14:paraId="00F1BB7C" w14:textId="57160626" w:rsidR="00FE6B4B" w:rsidRPr="00191B6F" w:rsidRDefault="00FE6B4B" w:rsidP="00387EA5">
            <w:pPr>
              <w:contextualSpacing/>
              <w:jc w:val="both"/>
              <w:rPr>
                <w:rFonts w:ascii="Arial" w:hAnsi="Arial" w:cs="Arial"/>
                <w:sz w:val="20"/>
                <w:szCs w:val="20"/>
              </w:rPr>
            </w:pPr>
            <w:r>
              <w:rPr>
                <w:rFonts w:ascii="Arial" w:hAnsi="Arial" w:cs="Arial"/>
                <w:sz w:val="20"/>
                <w:szCs w:val="20"/>
              </w:rPr>
              <w:t>Nem pénzügyi vállalatoknak nyújtott hitelek</w:t>
            </w:r>
            <w:r w:rsidR="000B4917">
              <w:rPr>
                <w:rFonts w:ascii="Arial" w:hAnsi="Arial" w:cs="Arial"/>
                <w:sz w:val="20"/>
                <w:szCs w:val="20"/>
              </w:rPr>
              <w:t xml:space="preserve"> és előlegek </w:t>
            </w:r>
            <w:r w:rsidR="000B4917" w:rsidRPr="000B4917">
              <w:rPr>
                <w:rFonts w:ascii="Arial" w:hAnsi="Arial" w:cs="Arial"/>
                <w:sz w:val="20"/>
                <w:szCs w:val="20"/>
              </w:rPr>
              <w:t>(fordított visszavásárlási hitelek kivételével)</w:t>
            </w:r>
          </w:p>
        </w:tc>
        <w:tc>
          <w:tcPr>
            <w:tcW w:w="3515" w:type="dxa"/>
            <w:shd w:val="clear" w:color="auto" w:fill="auto"/>
            <w:tcMar>
              <w:top w:w="85" w:type="dxa"/>
            </w:tcMar>
            <w:vAlign w:val="center"/>
          </w:tcPr>
          <w:p w14:paraId="54B2332D" w14:textId="150A93FA" w:rsidR="00FE6B4B" w:rsidRPr="00191B6F" w:rsidRDefault="00FE6B4B" w:rsidP="00D16669">
            <w:pPr>
              <w:contextualSpacing/>
              <w:rPr>
                <w:rFonts w:ascii="Arial" w:hAnsi="Arial" w:cs="Arial"/>
                <w:sz w:val="20"/>
                <w:szCs w:val="20"/>
              </w:rPr>
            </w:pPr>
            <w:r>
              <w:rPr>
                <w:rFonts w:ascii="Arial" w:hAnsi="Arial" w:cs="Arial"/>
                <w:sz w:val="20"/>
                <w:szCs w:val="20"/>
              </w:rPr>
              <w:t>lásd P_01.01. tábla 100. sor</w:t>
            </w:r>
            <w:r w:rsidR="00CB54A6">
              <w:rPr>
                <w:rFonts w:ascii="Arial" w:hAnsi="Arial" w:cs="Arial"/>
                <w:sz w:val="20"/>
                <w:szCs w:val="20"/>
              </w:rPr>
              <w:t xml:space="preserve"> </w:t>
            </w:r>
          </w:p>
        </w:tc>
      </w:tr>
      <w:tr w:rsidR="00FE6B4B" w:rsidRPr="00191B6F" w14:paraId="60A8ECB8" w14:textId="77777777" w:rsidTr="00387EA5">
        <w:tc>
          <w:tcPr>
            <w:tcW w:w="959" w:type="dxa"/>
            <w:shd w:val="clear" w:color="auto" w:fill="auto"/>
            <w:tcMar>
              <w:top w:w="85" w:type="dxa"/>
            </w:tcMar>
            <w:vAlign w:val="center"/>
          </w:tcPr>
          <w:p w14:paraId="77C620E3" w14:textId="77777777" w:rsidR="00FE6B4B" w:rsidRPr="00191B6F" w:rsidRDefault="00FE6B4B" w:rsidP="00D16669">
            <w:pPr>
              <w:contextualSpacing/>
              <w:rPr>
                <w:rFonts w:ascii="Arial" w:hAnsi="Arial" w:cs="Arial"/>
                <w:sz w:val="20"/>
                <w:szCs w:val="20"/>
              </w:rPr>
            </w:pPr>
            <w:r>
              <w:rPr>
                <w:rFonts w:ascii="Arial" w:hAnsi="Arial" w:cs="Arial"/>
                <w:sz w:val="20"/>
                <w:szCs w:val="20"/>
              </w:rPr>
              <w:t>060</w:t>
            </w:r>
          </w:p>
        </w:tc>
        <w:tc>
          <w:tcPr>
            <w:tcW w:w="1276" w:type="dxa"/>
            <w:vAlign w:val="center"/>
          </w:tcPr>
          <w:p w14:paraId="06E8A1AD" w14:textId="02F6BD8B" w:rsidR="00FE6B4B" w:rsidRDefault="00FE6B4B" w:rsidP="00D16669">
            <w:pPr>
              <w:contextualSpacing/>
              <w:rPr>
                <w:rFonts w:ascii="Arial" w:hAnsi="Arial" w:cs="Arial"/>
                <w:sz w:val="20"/>
                <w:szCs w:val="20"/>
              </w:rPr>
            </w:pPr>
            <w:r w:rsidRPr="00AA49E0">
              <w:rPr>
                <w:rFonts w:ascii="Arial" w:hAnsi="Arial" w:cs="Arial"/>
                <w:sz w:val="20"/>
                <w:szCs w:val="20"/>
              </w:rPr>
              <w:t>1.2.1.</w:t>
            </w:r>
          </w:p>
        </w:tc>
        <w:tc>
          <w:tcPr>
            <w:tcW w:w="3714" w:type="dxa"/>
            <w:shd w:val="clear" w:color="auto" w:fill="auto"/>
            <w:tcMar>
              <w:top w:w="85" w:type="dxa"/>
            </w:tcMar>
            <w:vAlign w:val="center"/>
          </w:tcPr>
          <w:p w14:paraId="258F0B0B" w14:textId="1087255F" w:rsidR="00FE6B4B" w:rsidRPr="00191B6F" w:rsidRDefault="00FE6B4B" w:rsidP="00D16669">
            <w:pPr>
              <w:contextualSpacing/>
              <w:rPr>
                <w:rFonts w:ascii="Arial" w:hAnsi="Arial" w:cs="Arial"/>
                <w:sz w:val="20"/>
                <w:szCs w:val="20"/>
              </w:rPr>
            </w:pPr>
            <w:r>
              <w:rPr>
                <w:rFonts w:ascii="Arial" w:hAnsi="Arial" w:cs="Arial"/>
                <w:sz w:val="20"/>
                <w:szCs w:val="20"/>
              </w:rPr>
              <w:t>Hazai tevékenység</w:t>
            </w:r>
            <w:r w:rsidR="000B4917">
              <w:rPr>
                <w:rFonts w:ascii="Arial" w:hAnsi="Arial" w:cs="Arial"/>
                <w:sz w:val="20"/>
                <w:szCs w:val="20"/>
              </w:rPr>
              <w:t>ek</w:t>
            </w:r>
          </w:p>
        </w:tc>
        <w:tc>
          <w:tcPr>
            <w:tcW w:w="3515" w:type="dxa"/>
            <w:shd w:val="clear" w:color="auto" w:fill="auto"/>
            <w:tcMar>
              <w:top w:w="85" w:type="dxa"/>
            </w:tcMar>
            <w:vAlign w:val="center"/>
          </w:tcPr>
          <w:p w14:paraId="7BA76A60" w14:textId="77777777" w:rsidR="00FE6B4B" w:rsidRPr="00191B6F" w:rsidRDefault="00FE6B4B" w:rsidP="00D16669">
            <w:pPr>
              <w:contextualSpacing/>
              <w:rPr>
                <w:rFonts w:ascii="Arial" w:hAnsi="Arial" w:cs="Arial"/>
                <w:sz w:val="20"/>
                <w:szCs w:val="20"/>
              </w:rPr>
            </w:pPr>
            <w:r>
              <w:rPr>
                <w:rFonts w:ascii="Arial" w:hAnsi="Arial" w:cs="Arial"/>
                <w:sz w:val="20"/>
                <w:szCs w:val="20"/>
              </w:rPr>
              <w:t>lásd P</w:t>
            </w:r>
            <w:r w:rsidR="00857983">
              <w:rPr>
                <w:rFonts w:ascii="Arial" w:hAnsi="Arial" w:cs="Arial"/>
                <w:sz w:val="20"/>
                <w:szCs w:val="20"/>
              </w:rPr>
              <w:t>_</w:t>
            </w:r>
            <w:r>
              <w:rPr>
                <w:rFonts w:ascii="Arial" w:hAnsi="Arial" w:cs="Arial"/>
                <w:sz w:val="20"/>
                <w:szCs w:val="20"/>
              </w:rPr>
              <w:t>01.01. tábla 110. sor</w:t>
            </w:r>
          </w:p>
        </w:tc>
      </w:tr>
      <w:tr w:rsidR="00B24A79" w:rsidRPr="00191B6F" w14:paraId="37994E34" w14:textId="77777777" w:rsidTr="00387EA5">
        <w:tc>
          <w:tcPr>
            <w:tcW w:w="959" w:type="dxa"/>
            <w:shd w:val="clear" w:color="auto" w:fill="auto"/>
            <w:tcMar>
              <w:top w:w="85" w:type="dxa"/>
            </w:tcMar>
            <w:vAlign w:val="center"/>
          </w:tcPr>
          <w:p w14:paraId="177665C4" w14:textId="49CDB6D1" w:rsidR="00B24A79" w:rsidRDefault="00B24A79" w:rsidP="00B24A79">
            <w:pPr>
              <w:contextualSpacing/>
              <w:rPr>
                <w:rFonts w:ascii="Arial" w:hAnsi="Arial" w:cs="Arial"/>
                <w:sz w:val="20"/>
                <w:szCs w:val="20"/>
              </w:rPr>
            </w:pPr>
            <w:r>
              <w:rPr>
                <w:rFonts w:ascii="Arial" w:hAnsi="Arial" w:cs="Arial"/>
                <w:sz w:val="20"/>
                <w:szCs w:val="20"/>
              </w:rPr>
              <w:t>071</w:t>
            </w:r>
          </w:p>
        </w:tc>
        <w:tc>
          <w:tcPr>
            <w:tcW w:w="1276" w:type="dxa"/>
            <w:vAlign w:val="center"/>
          </w:tcPr>
          <w:p w14:paraId="342AC3C1" w14:textId="6E639773" w:rsidR="00B24A79" w:rsidRPr="00AA49E0" w:rsidRDefault="00B24A79" w:rsidP="00B24A79">
            <w:pPr>
              <w:contextualSpacing/>
              <w:rPr>
                <w:rFonts w:ascii="Arial" w:hAnsi="Arial" w:cs="Arial"/>
                <w:sz w:val="20"/>
                <w:szCs w:val="20"/>
              </w:rPr>
            </w:pPr>
            <w:r>
              <w:rPr>
                <w:rFonts w:ascii="Arial" w:hAnsi="Arial" w:cs="Arial"/>
                <w:sz w:val="20"/>
                <w:szCs w:val="20"/>
              </w:rPr>
              <w:t>1.2.2.</w:t>
            </w:r>
          </w:p>
        </w:tc>
        <w:tc>
          <w:tcPr>
            <w:tcW w:w="3714" w:type="dxa"/>
            <w:shd w:val="clear" w:color="auto" w:fill="auto"/>
            <w:tcMar>
              <w:top w:w="85" w:type="dxa"/>
            </w:tcMar>
            <w:vAlign w:val="center"/>
          </w:tcPr>
          <w:p w14:paraId="67A49BC0" w14:textId="714EA53D" w:rsidR="00B24A79" w:rsidRDefault="00B24A79" w:rsidP="00B24A79">
            <w:pPr>
              <w:contextualSpacing/>
              <w:rPr>
                <w:rFonts w:ascii="Arial" w:hAnsi="Arial" w:cs="Arial"/>
                <w:sz w:val="20"/>
                <w:szCs w:val="20"/>
              </w:rPr>
            </w:pPr>
            <w:r w:rsidRPr="000B4917">
              <w:rPr>
                <w:rFonts w:ascii="Arial" w:hAnsi="Arial" w:cs="Arial"/>
                <w:sz w:val="20"/>
                <w:szCs w:val="20"/>
              </w:rPr>
              <w:t>Más EGT</w:t>
            </w:r>
            <w:r w:rsidR="00930335">
              <w:rPr>
                <w:rFonts w:ascii="Arial" w:hAnsi="Arial" w:cs="Arial"/>
                <w:sz w:val="20"/>
                <w:szCs w:val="20"/>
              </w:rPr>
              <w:t>-</w:t>
            </w:r>
            <w:r w:rsidR="006B5E04">
              <w:rPr>
                <w:rFonts w:ascii="Arial" w:hAnsi="Arial" w:cs="Arial"/>
                <w:sz w:val="20"/>
                <w:szCs w:val="20"/>
              </w:rPr>
              <w:t>államokban</w:t>
            </w:r>
            <w:r w:rsidRPr="000B4917">
              <w:rPr>
                <w:rFonts w:ascii="Arial" w:hAnsi="Arial" w:cs="Arial"/>
                <w:sz w:val="20"/>
                <w:szCs w:val="20"/>
              </w:rPr>
              <w:t xml:space="preserve"> végzett tevékenységek</w:t>
            </w:r>
          </w:p>
        </w:tc>
        <w:tc>
          <w:tcPr>
            <w:tcW w:w="3515" w:type="dxa"/>
            <w:shd w:val="clear" w:color="auto" w:fill="auto"/>
            <w:tcMar>
              <w:top w:w="85" w:type="dxa"/>
            </w:tcMar>
            <w:vAlign w:val="center"/>
          </w:tcPr>
          <w:p w14:paraId="30F81062" w14:textId="71AA1FA3" w:rsidR="00B24A79" w:rsidRDefault="00B24A79" w:rsidP="00B24A79">
            <w:pPr>
              <w:contextualSpacing/>
              <w:rPr>
                <w:rFonts w:ascii="Arial" w:hAnsi="Arial" w:cs="Arial"/>
                <w:sz w:val="20"/>
                <w:szCs w:val="20"/>
              </w:rPr>
            </w:pPr>
            <w:r>
              <w:rPr>
                <w:rFonts w:ascii="Arial" w:hAnsi="Arial" w:cs="Arial"/>
                <w:sz w:val="20"/>
                <w:szCs w:val="20"/>
              </w:rPr>
              <w:t>lásd P_01.01. tábla 161. sor</w:t>
            </w:r>
          </w:p>
        </w:tc>
      </w:tr>
      <w:tr w:rsidR="00B24A79" w:rsidRPr="00191B6F" w14:paraId="03E58AA8" w14:textId="77777777" w:rsidTr="00387EA5">
        <w:tc>
          <w:tcPr>
            <w:tcW w:w="959" w:type="dxa"/>
            <w:shd w:val="clear" w:color="auto" w:fill="auto"/>
            <w:tcMar>
              <w:top w:w="85" w:type="dxa"/>
            </w:tcMar>
            <w:vAlign w:val="center"/>
          </w:tcPr>
          <w:p w14:paraId="0F59E920" w14:textId="216FEE2B" w:rsidR="00B24A79" w:rsidRDefault="00B24A79" w:rsidP="00B24A79">
            <w:pPr>
              <w:contextualSpacing/>
              <w:rPr>
                <w:rFonts w:ascii="Arial" w:hAnsi="Arial" w:cs="Arial"/>
                <w:sz w:val="20"/>
                <w:szCs w:val="20"/>
              </w:rPr>
            </w:pPr>
            <w:r>
              <w:rPr>
                <w:rFonts w:ascii="Arial" w:hAnsi="Arial" w:cs="Arial"/>
                <w:sz w:val="20"/>
                <w:szCs w:val="20"/>
              </w:rPr>
              <w:t>072</w:t>
            </w:r>
          </w:p>
        </w:tc>
        <w:tc>
          <w:tcPr>
            <w:tcW w:w="1276" w:type="dxa"/>
            <w:vAlign w:val="center"/>
          </w:tcPr>
          <w:p w14:paraId="07512800" w14:textId="19E13D4E" w:rsidR="00B24A79" w:rsidRPr="00AA49E0" w:rsidRDefault="00B24A79" w:rsidP="00B24A79">
            <w:pPr>
              <w:contextualSpacing/>
              <w:rPr>
                <w:rFonts w:ascii="Arial" w:hAnsi="Arial" w:cs="Arial"/>
                <w:sz w:val="20"/>
                <w:szCs w:val="20"/>
              </w:rPr>
            </w:pPr>
            <w:r>
              <w:rPr>
                <w:rFonts w:ascii="Arial" w:hAnsi="Arial" w:cs="Arial"/>
                <w:sz w:val="20"/>
                <w:szCs w:val="20"/>
              </w:rPr>
              <w:t>1.2.3</w:t>
            </w:r>
            <w:r w:rsidR="00521A47">
              <w:rPr>
                <w:rFonts w:ascii="Arial" w:hAnsi="Arial" w:cs="Arial"/>
                <w:sz w:val="20"/>
                <w:szCs w:val="20"/>
              </w:rPr>
              <w:t>.</w:t>
            </w:r>
          </w:p>
        </w:tc>
        <w:tc>
          <w:tcPr>
            <w:tcW w:w="3714" w:type="dxa"/>
            <w:shd w:val="clear" w:color="auto" w:fill="auto"/>
            <w:tcMar>
              <w:top w:w="85" w:type="dxa"/>
            </w:tcMar>
            <w:vAlign w:val="center"/>
          </w:tcPr>
          <w:p w14:paraId="4F784464" w14:textId="257BEB26" w:rsidR="00B24A79" w:rsidRDefault="002A0C5A" w:rsidP="00B24A79">
            <w:pPr>
              <w:contextualSpacing/>
              <w:rPr>
                <w:rFonts w:ascii="Arial" w:hAnsi="Arial" w:cs="Arial"/>
                <w:sz w:val="20"/>
                <w:szCs w:val="20"/>
              </w:rPr>
            </w:pPr>
            <w:r>
              <w:rPr>
                <w:rFonts w:ascii="Arial" w:hAnsi="Arial" w:cs="Arial"/>
                <w:sz w:val="20"/>
                <w:szCs w:val="20"/>
              </w:rPr>
              <w:t>Harmadik ország</w:t>
            </w:r>
            <w:r w:rsidR="00B24A79" w:rsidRPr="000B4917">
              <w:rPr>
                <w:rFonts w:ascii="Arial" w:hAnsi="Arial" w:cs="Arial"/>
                <w:sz w:val="20"/>
                <w:szCs w:val="20"/>
              </w:rPr>
              <w:t>ban végzett tevékenységek</w:t>
            </w:r>
          </w:p>
        </w:tc>
        <w:tc>
          <w:tcPr>
            <w:tcW w:w="3515" w:type="dxa"/>
            <w:shd w:val="clear" w:color="auto" w:fill="auto"/>
            <w:tcMar>
              <w:top w:w="85" w:type="dxa"/>
            </w:tcMar>
            <w:vAlign w:val="center"/>
          </w:tcPr>
          <w:p w14:paraId="53E4999A" w14:textId="6B44AC38" w:rsidR="00B24A79" w:rsidRDefault="00B24A79" w:rsidP="00B24A79">
            <w:pPr>
              <w:contextualSpacing/>
              <w:rPr>
                <w:rFonts w:ascii="Arial" w:hAnsi="Arial" w:cs="Arial"/>
                <w:sz w:val="20"/>
                <w:szCs w:val="20"/>
              </w:rPr>
            </w:pPr>
            <w:r>
              <w:rPr>
                <w:rFonts w:ascii="Arial" w:hAnsi="Arial" w:cs="Arial"/>
                <w:sz w:val="20"/>
                <w:szCs w:val="20"/>
              </w:rPr>
              <w:t>lásd P_01.01. tábla 167. sor</w:t>
            </w:r>
          </w:p>
        </w:tc>
      </w:tr>
      <w:tr w:rsidR="00E36DB5" w:rsidRPr="00E36DB5" w14:paraId="02AD97AE" w14:textId="77777777" w:rsidTr="00387EA5">
        <w:tc>
          <w:tcPr>
            <w:tcW w:w="959" w:type="dxa"/>
            <w:shd w:val="clear" w:color="auto" w:fill="auto"/>
            <w:tcMar>
              <w:top w:w="85" w:type="dxa"/>
            </w:tcMar>
            <w:vAlign w:val="center"/>
          </w:tcPr>
          <w:p w14:paraId="50781C17" w14:textId="2E50E75E" w:rsidR="00B24A79" w:rsidRPr="00E36DB5" w:rsidRDefault="00B24A79" w:rsidP="00B24A79">
            <w:pPr>
              <w:contextualSpacing/>
              <w:rPr>
                <w:rFonts w:ascii="Arial" w:hAnsi="Arial" w:cs="Arial"/>
                <w:sz w:val="20"/>
                <w:szCs w:val="20"/>
              </w:rPr>
            </w:pPr>
            <w:r w:rsidRPr="00E36DB5">
              <w:rPr>
                <w:rFonts w:ascii="Arial" w:hAnsi="Arial" w:cs="Arial"/>
                <w:sz w:val="20"/>
                <w:szCs w:val="20"/>
              </w:rPr>
              <w:t>085</w:t>
            </w:r>
          </w:p>
        </w:tc>
        <w:tc>
          <w:tcPr>
            <w:tcW w:w="1276" w:type="dxa"/>
            <w:vAlign w:val="center"/>
          </w:tcPr>
          <w:p w14:paraId="2ADA8B14" w14:textId="7F2B2E1C" w:rsidR="00B24A79" w:rsidRPr="00E36DB5" w:rsidRDefault="00B24A79" w:rsidP="00B24A79">
            <w:pPr>
              <w:contextualSpacing/>
              <w:rPr>
                <w:rFonts w:ascii="Arial" w:hAnsi="Arial" w:cs="Arial"/>
                <w:sz w:val="20"/>
                <w:szCs w:val="20"/>
              </w:rPr>
            </w:pPr>
            <w:r w:rsidRPr="00E36DB5">
              <w:rPr>
                <w:rFonts w:ascii="Arial" w:hAnsi="Arial" w:cs="Arial"/>
                <w:sz w:val="20"/>
                <w:szCs w:val="20"/>
              </w:rPr>
              <w:t>1.3.</w:t>
            </w:r>
          </w:p>
        </w:tc>
        <w:tc>
          <w:tcPr>
            <w:tcW w:w="3714" w:type="dxa"/>
            <w:shd w:val="clear" w:color="auto" w:fill="auto"/>
            <w:tcMar>
              <w:top w:w="85" w:type="dxa"/>
            </w:tcMar>
            <w:vAlign w:val="center"/>
          </w:tcPr>
          <w:p w14:paraId="1D164740" w14:textId="3120E107" w:rsidR="00B24A79" w:rsidRPr="00E36DB5" w:rsidRDefault="00B24A79" w:rsidP="00387EA5">
            <w:pPr>
              <w:contextualSpacing/>
              <w:jc w:val="both"/>
              <w:rPr>
                <w:rFonts w:ascii="Arial" w:hAnsi="Arial" w:cs="Arial"/>
                <w:sz w:val="20"/>
                <w:szCs w:val="20"/>
              </w:rPr>
            </w:pPr>
            <w:r w:rsidRPr="00E36DB5">
              <w:rPr>
                <w:rFonts w:ascii="Arial" w:hAnsi="Arial" w:cs="Arial"/>
                <w:sz w:val="20"/>
                <w:szCs w:val="20"/>
              </w:rPr>
              <w:t>Hitelintézeteknek nyújtott hitelek és előlegek (fordított visszavásárlási hitelek kivételével)</w:t>
            </w:r>
          </w:p>
        </w:tc>
        <w:tc>
          <w:tcPr>
            <w:tcW w:w="3515" w:type="dxa"/>
            <w:shd w:val="clear" w:color="auto" w:fill="auto"/>
            <w:tcMar>
              <w:top w:w="85" w:type="dxa"/>
            </w:tcMar>
            <w:vAlign w:val="center"/>
          </w:tcPr>
          <w:p w14:paraId="7AB81293" w14:textId="05763CEB" w:rsidR="00B24A79" w:rsidRPr="00E36DB5" w:rsidRDefault="00B24A79" w:rsidP="00B24A79">
            <w:pPr>
              <w:contextualSpacing/>
              <w:rPr>
                <w:rFonts w:ascii="Arial" w:hAnsi="Arial" w:cs="Arial"/>
                <w:sz w:val="20"/>
                <w:szCs w:val="20"/>
              </w:rPr>
            </w:pPr>
            <w:r w:rsidRPr="00E36DB5">
              <w:rPr>
                <w:rFonts w:ascii="Arial" w:hAnsi="Arial" w:cs="Arial"/>
                <w:sz w:val="20"/>
                <w:szCs w:val="20"/>
              </w:rPr>
              <w:t>lásd P_01.01. tábla 180. sor</w:t>
            </w:r>
          </w:p>
        </w:tc>
      </w:tr>
      <w:tr w:rsidR="00E36DB5" w:rsidRPr="00E36DB5" w14:paraId="76A9975C" w14:textId="77777777" w:rsidTr="00387EA5">
        <w:tc>
          <w:tcPr>
            <w:tcW w:w="959" w:type="dxa"/>
            <w:shd w:val="clear" w:color="auto" w:fill="auto"/>
            <w:tcMar>
              <w:top w:w="85" w:type="dxa"/>
            </w:tcMar>
            <w:vAlign w:val="center"/>
          </w:tcPr>
          <w:p w14:paraId="481FBD5B" w14:textId="344678C9" w:rsidR="00B24A79" w:rsidRPr="00E36DB5" w:rsidRDefault="00B24A79" w:rsidP="00B24A79">
            <w:pPr>
              <w:contextualSpacing/>
              <w:rPr>
                <w:rFonts w:ascii="Arial" w:hAnsi="Arial" w:cs="Arial"/>
                <w:sz w:val="20"/>
                <w:szCs w:val="20"/>
              </w:rPr>
            </w:pPr>
            <w:r w:rsidRPr="00E36DB5">
              <w:rPr>
                <w:rFonts w:ascii="Arial" w:hAnsi="Arial" w:cs="Arial"/>
                <w:sz w:val="20"/>
                <w:szCs w:val="20"/>
              </w:rPr>
              <w:t>090</w:t>
            </w:r>
          </w:p>
        </w:tc>
        <w:tc>
          <w:tcPr>
            <w:tcW w:w="1276" w:type="dxa"/>
            <w:vAlign w:val="center"/>
          </w:tcPr>
          <w:p w14:paraId="04B02B26" w14:textId="752B6EEE" w:rsidR="00B24A79" w:rsidRPr="00E36DB5" w:rsidRDefault="00B24A79" w:rsidP="00B24A79">
            <w:pPr>
              <w:contextualSpacing/>
              <w:rPr>
                <w:rFonts w:ascii="Arial" w:hAnsi="Arial" w:cs="Arial"/>
                <w:sz w:val="20"/>
                <w:szCs w:val="20"/>
              </w:rPr>
            </w:pPr>
            <w:r w:rsidRPr="00E36DB5">
              <w:rPr>
                <w:rFonts w:ascii="Arial" w:hAnsi="Arial" w:cs="Arial"/>
                <w:sz w:val="20"/>
                <w:szCs w:val="20"/>
              </w:rPr>
              <w:t>1.3.1.</w:t>
            </w:r>
          </w:p>
        </w:tc>
        <w:tc>
          <w:tcPr>
            <w:tcW w:w="3714" w:type="dxa"/>
            <w:shd w:val="clear" w:color="auto" w:fill="auto"/>
            <w:tcMar>
              <w:top w:w="85" w:type="dxa"/>
            </w:tcMar>
            <w:vAlign w:val="center"/>
          </w:tcPr>
          <w:p w14:paraId="7573F12C" w14:textId="09450B7D" w:rsidR="00B24A79" w:rsidRPr="00E36DB5" w:rsidRDefault="00B24A79" w:rsidP="00B24A79">
            <w:pPr>
              <w:contextualSpacing/>
              <w:rPr>
                <w:rFonts w:ascii="Arial" w:hAnsi="Arial" w:cs="Arial"/>
                <w:sz w:val="20"/>
                <w:szCs w:val="20"/>
              </w:rPr>
            </w:pPr>
            <w:r w:rsidRPr="00E36DB5">
              <w:rPr>
                <w:rFonts w:ascii="Arial" w:hAnsi="Arial" w:cs="Arial"/>
                <w:sz w:val="20"/>
                <w:szCs w:val="20"/>
              </w:rPr>
              <w:t>Hazai tevékenységek</w:t>
            </w:r>
          </w:p>
        </w:tc>
        <w:tc>
          <w:tcPr>
            <w:tcW w:w="3515" w:type="dxa"/>
            <w:shd w:val="clear" w:color="auto" w:fill="auto"/>
            <w:tcMar>
              <w:top w:w="85" w:type="dxa"/>
            </w:tcMar>
            <w:vAlign w:val="center"/>
          </w:tcPr>
          <w:p w14:paraId="7BF810CE" w14:textId="6C091E6E" w:rsidR="00B24A79" w:rsidRPr="00E36DB5" w:rsidRDefault="00B24A79" w:rsidP="00B24A79">
            <w:pPr>
              <w:contextualSpacing/>
              <w:rPr>
                <w:rFonts w:ascii="Arial" w:hAnsi="Arial" w:cs="Arial"/>
                <w:sz w:val="20"/>
                <w:szCs w:val="20"/>
              </w:rPr>
            </w:pPr>
            <w:r w:rsidRPr="00E36DB5">
              <w:rPr>
                <w:rFonts w:ascii="Arial" w:hAnsi="Arial" w:cs="Arial"/>
                <w:sz w:val="20"/>
                <w:szCs w:val="20"/>
              </w:rPr>
              <w:t>lásd P_01.01. tábla 181. sor</w:t>
            </w:r>
          </w:p>
        </w:tc>
      </w:tr>
      <w:tr w:rsidR="00E36DB5" w:rsidRPr="00E36DB5" w14:paraId="16BD6EDE" w14:textId="77777777" w:rsidTr="00387EA5">
        <w:tc>
          <w:tcPr>
            <w:tcW w:w="959" w:type="dxa"/>
            <w:shd w:val="clear" w:color="auto" w:fill="auto"/>
            <w:tcMar>
              <w:top w:w="85" w:type="dxa"/>
            </w:tcMar>
            <w:vAlign w:val="center"/>
          </w:tcPr>
          <w:p w14:paraId="0382AA25" w14:textId="417E61E1" w:rsidR="00B24A79" w:rsidRPr="00E36DB5" w:rsidRDefault="00B24A79" w:rsidP="00B24A79">
            <w:pPr>
              <w:contextualSpacing/>
              <w:rPr>
                <w:rFonts w:ascii="Arial" w:hAnsi="Arial" w:cs="Arial"/>
                <w:sz w:val="20"/>
                <w:szCs w:val="20"/>
              </w:rPr>
            </w:pPr>
            <w:r w:rsidRPr="00E36DB5">
              <w:rPr>
                <w:rFonts w:ascii="Arial" w:hAnsi="Arial" w:cs="Arial"/>
                <w:sz w:val="20"/>
                <w:szCs w:val="20"/>
              </w:rPr>
              <w:t>100</w:t>
            </w:r>
          </w:p>
        </w:tc>
        <w:tc>
          <w:tcPr>
            <w:tcW w:w="1276" w:type="dxa"/>
            <w:vAlign w:val="center"/>
          </w:tcPr>
          <w:p w14:paraId="46C5FD78" w14:textId="139B67EC" w:rsidR="00B24A79" w:rsidRPr="00E36DB5" w:rsidRDefault="00B24A79" w:rsidP="00B24A79">
            <w:pPr>
              <w:contextualSpacing/>
              <w:rPr>
                <w:rFonts w:ascii="Arial" w:hAnsi="Arial" w:cs="Arial"/>
                <w:sz w:val="20"/>
                <w:szCs w:val="20"/>
              </w:rPr>
            </w:pPr>
            <w:r w:rsidRPr="00E36DB5">
              <w:rPr>
                <w:rFonts w:ascii="Arial" w:hAnsi="Arial" w:cs="Arial"/>
                <w:sz w:val="20"/>
                <w:szCs w:val="20"/>
              </w:rPr>
              <w:t>1.3.2.</w:t>
            </w:r>
          </w:p>
        </w:tc>
        <w:tc>
          <w:tcPr>
            <w:tcW w:w="3714" w:type="dxa"/>
            <w:shd w:val="clear" w:color="auto" w:fill="auto"/>
            <w:tcMar>
              <w:top w:w="85" w:type="dxa"/>
            </w:tcMar>
            <w:vAlign w:val="center"/>
          </w:tcPr>
          <w:p w14:paraId="3499CEFE" w14:textId="38D67BF9" w:rsidR="00B24A79" w:rsidRPr="00E36DB5" w:rsidRDefault="00B24A79" w:rsidP="00387EA5">
            <w:pPr>
              <w:contextualSpacing/>
              <w:jc w:val="both"/>
              <w:rPr>
                <w:rFonts w:ascii="Arial" w:hAnsi="Arial" w:cs="Arial"/>
                <w:sz w:val="20"/>
                <w:szCs w:val="20"/>
              </w:rPr>
            </w:pPr>
            <w:r w:rsidRPr="00E36DB5">
              <w:rPr>
                <w:rFonts w:ascii="Arial" w:hAnsi="Arial" w:cs="Arial"/>
                <w:sz w:val="20"/>
                <w:szCs w:val="20"/>
              </w:rPr>
              <w:t>Más EGT</w:t>
            </w:r>
            <w:r w:rsidR="00930335" w:rsidRPr="00E36DB5">
              <w:rPr>
                <w:rFonts w:ascii="Arial" w:hAnsi="Arial" w:cs="Arial"/>
                <w:sz w:val="20"/>
                <w:szCs w:val="20"/>
              </w:rPr>
              <w:t>-</w:t>
            </w:r>
            <w:r w:rsidR="006B5E04" w:rsidRPr="00E36DB5">
              <w:rPr>
                <w:rFonts w:ascii="Arial" w:hAnsi="Arial" w:cs="Arial"/>
                <w:sz w:val="20"/>
                <w:szCs w:val="20"/>
              </w:rPr>
              <w:t>államo</w:t>
            </w:r>
            <w:r w:rsidRPr="00E36DB5">
              <w:rPr>
                <w:rFonts w:ascii="Arial" w:hAnsi="Arial" w:cs="Arial"/>
                <w:sz w:val="20"/>
                <w:szCs w:val="20"/>
              </w:rPr>
              <w:t>kban végzett tevékenységek</w:t>
            </w:r>
          </w:p>
        </w:tc>
        <w:tc>
          <w:tcPr>
            <w:tcW w:w="3515" w:type="dxa"/>
            <w:shd w:val="clear" w:color="auto" w:fill="auto"/>
            <w:tcMar>
              <w:top w:w="85" w:type="dxa"/>
            </w:tcMar>
            <w:vAlign w:val="center"/>
          </w:tcPr>
          <w:p w14:paraId="0BA6BD6B" w14:textId="43748E8B" w:rsidR="00B24A79" w:rsidRPr="00E36DB5" w:rsidRDefault="00B24A79" w:rsidP="00B24A79">
            <w:pPr>
              <w:contextualSpacing/>
              <w:rPr>
                <w:rFonts w:ascii="Arial" w:hAnsi="Arial" w:cs="Arial"/>
                <w:sz w:val="20"/>
                <w:szCs w:val="20"/>
              </w:rPr>
            </w:pPr>
            <w:r w:rsidRPr="00E36DB5">
              <w:rPr>
                <w:rFonts w:ascii="Arial" w:hAnsi="Arial" w:cs="Arial"/>
                <w:sz w:val="20"/>
                <w:szCs w:val="20"/>
              </w:rPr>
              <w:t>lásd P_01.01. tábla 182. sor</w:t>
            </w:r>
          </w:p>
        </w:tc>
      </w:tr>
      <w:tr w:rsidR="00E36DB5" w:rsidRPr="00E36DB5" w14:paraId="67595584" w14:textId="77777777" w:rsidTr="00387EA5">
        <w:tc>
          <w:tcPr>
            <w:tcW w:w="959" w:type="dxa"/>
            <w:shd w:val="clear" w:color="auto" w:fill="auto"/>
            <w:tcMar>
              <w:top w:w="85" w:type="dxa"/>
            </w:tcMar>
            <w:vAlign w:val="center"/>
          </w:tcPr>
          <w:p w14:paraId="7C52E893" w14:textId="67813085" w:rsidR="00B24A79" w:rsidRPr="00E36DB5" w:rsidRDefault="00B24A79" w:rsidP="00B24A79">
            <w:pPr>
              <w:contextualSpacing/>
              <w:rPr>
                <w:rFonts w:ascii="Arial" w:hAnsi="Arial" w:cs="Arial"/>
                <w:sz w:val="20"/>
                <w:szCs w:val="20"/>
              </w:rPr>
            </w:pPr>
            <w:r w:rsidRPr="00E36DB5">
              <w:rPr>
                <w:rFonts w:ascii="Arial" w:hAnsi="Arial" w:cs="Arial"/>
                <w:sz w:val="20"/>
                <w:szCs w:val="20"/>
              </w:rPr>
              <w:t>110</w:t>
            </w:r>
          </w:p>
        </w:tc>
        <w:tc>
          <w:tcPr>
            <w:tcW w:w="1276" w:type="dxa"/>
            <w:vAlign w:val="center"/>
          </w:tcPr>
          <w:p w14:paraId="13B15CDF" w14:textId="7A7DE126" w:rsidR="00B24A79" w:rsidRPr="00E36DB5" w:rsidRDefault="00B24A79" w:rsidP="00B24A79">
            <w:pPr>
              <w:contextualSpacing/>
              <w:rPr>
                <w:rFonts w:ascii="Arial" w:hAnsi="Arial" w:cs="Arial"/>
                <w:sz w:val="20"/>
                <w:szCs w:val="20"/>
              </w:rPr>
            </w:pPr>
            <w:r w:rsidRPr="00E36DB5">
              <w:rPr>
                <w:rFonts w:ascii="Arial" w:hAnsi="Arial" w:cs="Arial"/>
                <w:sz w:val="20"/>
                <w:szCs w:val="20"/>
              </w:rPr>
              <w:t>1.3.3.</w:t>
            </w:r>
          </w:p>
        </w:tc>
        <w:tc>
          <w:tcPr>
            <w:tcW w:w="3714" w:type="dxa"/>
            <w:shd w:val="clear" w:color="auto" w:fill="auto"/>
            <w:tcMar>
              <w:top w:w="85" w:type="dxa"/>
            </w:tcMar>
            <w:vAlign w:val="center"/>
          </w:tcPr>
          <w:p w14:paraId="16448818" w14:textId="20A3621C" w:rsidR="00B24A79" w:rsidRPr="00E36DB5" w:rsidRDefault="00696FD9" w:rsidP="00387EA5">
            <w:pPr>
              <w:contextualSpacing/>
              <w:jc w:val="both"/>
              <w:rPr>
                <w:rFonts w:ascii="Arial" w:hAnsi="Arial" w:cs="Arial"/>
                <w:sz w:val="20"/>
                <w:szCs w:val="20"/>
              </w:rPr>
            </w:pPr>
            <w:r w:rsidRPr="00E36DB5">
              <w:rPr>
                <w:rFonts w:ascii="Arial" w:hAnsi="Arial" w:cs="Arial"/>
                <w:sz w:val="20"/>
                <w:szCs w:val="20"/>
              </w:rPr>
              <w:t>Harmadik ország</w:t>
            </w:r>
            <w:r w:rsidR="00B24A79" w:rsidRPr="00E36DB5">
              <w:rPr>
                <w:rFonts w:ascii="Arial" w:hAnsi="Arial" w:cs="Arial"/>
                <w:sz w:val="20"/>
                <w:szCs w:val="20"/>
              </w:rPr>
              <w:t>ban végzett tevékenységek</w:t>
            </w:r>
          </w:p>
        </w:tc>
        <w:tc>
          <w:tcPr>
            <w:tcW w:w="3515" w:type="dxa"/>
            <w:shd w:val="clear" w:color="auto" w:fill="auto"/>
            <w:tcMar>
              <w:top w:w="85" w:type="dxa"/>
            </w:tcMar>
            <w:vAlign w:val="center"/>
          </w:tcPr>
          <w:p w14:paraId="5E25B338" w14:textId="69E85B68" w:rsidR="00B24A79" w:rsidRPr="00E36DB5" w:rsidRDefault="00B24A79" w:rsidP="00B24A79">
            <w:pPr>
              <w:contextualSpacing/>
              <w:rPr>
                <w:rFonts w:ascii="Arial" w:hAnsi="Arial" w:cs="Arial"/>
                <w:sz w:val="20"/>
                <w:szCs w:val="20"/>
              </w:rPr>
            </w:pPr>
            <w:r w:rsidRPr="00E36DB5">
              <w:rPr>
                <w:rFonts w:ascii="Arial" w:hAnsi="Arial" w:cs="Arial"/>
                <w:sz w:val="20"/>
                <w:szCs w:val="20"/>
              </w:rPr>
              <w:t>lásd P_01.01. tábla 183. sor</w:t>
            </w:r>
          </w:p>
        </w:tc>
      </w:tr>
      <w:tr w:rsidR="00E36DB5" w:rsidRPr="00E36DB5" w14:paraId="023A2FBC" w14:textId="77777777" w:rsidTr="00387EA5">
        <w:tc>
          <w:tcPr>
            <w:tcW w:w="959" w:type="dxa"/>
            <w:shd w:val="clear" w:color="auto" w:fill="auto"/>
            <w:tcMar>
              <w:top w:w="85" w:type="dxa"/>
            </w:tcMar>
            <w:vAlign w:val="center"/>
          </w:tcPr>
          <w:p w14:paraId="35D67F1F" w14:textId="1A6A1E4A" w:rsidR="00B24A79" w:rsidRPr="00E36DB5" w:rsidRDefault="00B24A79" w:rsidP="00B24A79">
            <w:pPr>
              <w:contextualSpacing/>
              <w:rPr>
                <w:rFonts w:ascii="Arial" w:hAnsi="Arial" w:cs="Arial"/>
                <w:sz w:val="20"/>
                <w:szCs w:val="20"/>
              </w:rPr>
            </w:pPr>
            <w:r w:rsidRPr="00E36DB5">
              <w:rPr>
                <w:rFonts w:ascii="Arial" w:hAnsi="Arial" w:cs="Arial"/>
                <w:sz w:val="20"/>
                <w:szCs w:val="20"/>
              </w:rPr>
              <w:t>120</w:t>
            </w:r>
          </w:p>
        </w:tc>
        <w:tc>
          <w:tcPr>
            <w:tcW w:w="1276" w:type="dxa"/>
            <w:vAlign w:val="center"/>
          </w:tcPr>
          <w:p w14:paraId="00D79B83" w14:textId="70F98EE8" w:rsidR="00B24A79" w:rsidRPr="00E36DB5" w:rsidRDefault="00B24A79" w:rsidP="00B24A79">
            <w:pPr>
              <w:contextualSpacing/>
              <w:rPr>
                <w:rFonts w:ascii="Arial" w:hAnsi="Arial" w:cs="Arial"/>
                <w:sz w:val="20"/>
                <w:szCs w:val="20"/>
              </w:rPr>
            </w:pPr>
            <w:r w:rsidRPr="00E36DB5">
              <w:rPr>
                <w:rFonts w:ascii="Arial" w:hAnsi="Arial" w:cs="Arial"/>
                <w:sz w:val="20"/>
                <w:szCs w:val="20"/>
              </w:rPr>
              <w:t>1.4</w:t>
            </w:r>
            <w:r w:rsidR="00521A47" w:rsidRPr="00E36DB5">
              <w:rPr>
                <w:rFonts w:ascii="Arial" w:hAnsi="Arial" w:cs="Arial"/>
                <w:sz w:val="20"/>
                <w:szCs w:val="20"/>
              </w:rPr>
              <w:t>.</w:t>
            </w:r>
          </w:p>
        </w:tc>
        <w:tc>
          <w:tcPr>
            <w:tcW w:w="3714" w:type="dxa"/>
            <w:shd w:val="clear" w:color="auto" w:fill="auto"/>
            <w:tcMar>
              <w:top w:w="85" w:type="dxa"/>
            </w:tcMar>
            <w:vAlign w:val="center"/>
          </w:tcPr>
          <w:p w14:paraId="6A759C7F" w14:textId="5D16240E" w:rsidR="00B24A79" w:rsidRPr="00E36DB5" w:rsidRDefault="00B24A79" w:rsidP="00387EA5">
            <w:pPr>
              <w:contextualSpacing/>
              <w:jc w:val="both"/>
              <w:rPr>
                <w:rFonts w:ascii="Arial" w:hAnsi="Arial" w:cs="Arial"/>
                <w:sz w:val="20"/>
                <w:szCs w:val="20"/>
              </w:rPr>
            </w:pPr>
            <w:r w:rsidRPr="00E36DB5">
              <w:rPr>
                <w:rFonts w:ascii="Arial" w:hAnsi="Arial" w:cs="Arial"/>
                <w:sz w:val="20"/>
                <w:szCs w:val="20"/>
              </w:rPr>
              <w:t xml:space="preserve">Egyéb pénzügyi vállalatoknak nyújtott hitelek és előlegek (fordított visszavásárlási </w:t>
            </w:r>
            <w:r w:rsidR="009F40D9" w:rsidRPr="00E36DB5">
              <w:rPr>
                <w:rFonts w:ascii="Arial" w:hAnsi="Arial" w:cs="Arial"/>
                <w:sz w:val="20"/>
                <w:szCs w:val="20"/>
              </w:rPr>
              <w:t>hitelek</w:t>
            </w:r>
            <w:r w:rsidRPr="00E36DB5">
              <w:rPr>
                <w:rFonts w:ascii="Arial" w:hAnsi="Arial" w:cs="Arial"/>
                <w:sz w:val="20"/>
                <w:szCs w:val="20"/>
              </w:rPr>
              <w:t xml:space="preserve"> kivételével)</w:t>
            </w:r>
          </w:p>
        </w:tc>
        <w:tc>
          <w:tcPr>
            <w:tcW w:w="3515" w:type="dxa"/>
            <w:shd w:val="clear" w:color="auto" w:fill="auto"/>
            <w:tcMar>
              <w:top w:w="85" w:type="dxa"/>
            </w:tcMar>
            <w:vAlign w:val="center"/>
          </w:tcPr>
          <w:p w14:paraId="3D019EE9" w14:textId="3AAD1ED1" w:rsidR="00B24A79" w:rsidRPr="00E36DB5" w:rsidRDefault="00B24A79" w:rsidP="00B24A79">
            <w:pPr>
              <w:contextualSpacing/>
              <w:rPr>
                <w:rFonts w:ascii="Arial" w:hAnsi="Arial" w:cs="Arial"/>
                <w:sz w:val="20"/>
                <w:szCs w:val="20"/>
              </w:rPr>
            </w:pPr>
            <w:r w:rsidRPr="00E36DB5">
              <w:rPr>
                <w:rFonts w:ascii="Arial" w:hAnsi="Arial" w:cs="Arial"/>
                <w:sz w:val="20"/>
                <w:szCs w:val="20"/>
              </w:rPr>
              <w:t>lásd P_01.01. tábla 190. sor</w:t>
            </w:r>
          </w:p>
        </w:tc>
      </w:tr>
      <w:tr w:rsidR="00E36DB5" w:rsidRPr="00E36DB5" w14:paraId="7D4DC07F" w14:textId="77777777" w:rsidTr="00387EA5">
        <w:tc>
          <w:tcPr>
            <w:tcW w:w="959" w:type="dxa"/>
            <w:shd w:val="clear" w:color="auto" w:fill="auto"/>
            <w:tcMar>
              <w:top w:w="85" w:type="dxa"/>
            </w:tcMar>
            <w:vAlign w:val="center"/>
          </w:tcPr>
          <w:p w14:paraId="0D45DFAB" w14:textId="76A1C622" w:rsidR="00B24A79" w:rsidRPr="00E36DB5" w:rsidRDefault="00B24A79" w:rsidP="00B24A79">
            <w:pPr>
              <w:contextualSpacing/>
              <w:rPr>
                <w:rFonts w:ascii="Arial" w:hAnsi="Arial" w:cs="Arial"/>
                <w:sz w:val="20"/>
                <w:szCs w:val="20"/>
              </w:rPr>
            </w:pPr>
            <w:r w:rsidRPr="00E36DB5">
              <w:rPr>
                <w:rFonts w:ascii="Arial" w:hAnsi="Arial" w:cs="Arial"/>
                <w:sz w:val="20"/>
                <w:szCs w:val="20"/>
              </w:rPr>
              <w:t>130</w:t>
            </w:r>
          </w:p>
        </w:tc>
        <w:tc>
          <w:tcPr>
            <w:tcW w:w="1276" w:type="dxa"/>
            <w:vAlign w:val="center"/>
          </w:tcPr>
          <w:p w14:paraId="4CA26895" w14:textId="6B4FFB35" w:rsidR="00B24A79" w:rsidRPr="00E36DB5" w:rsidRDefault="00B24A79" w:rsidP="00B24A79">
            <w:pPr>
              <w:contextualSpacing/>
              <w:rPr>
                <w:rFonts w:ascii="Arial" w:hAnsi="Arial" w:cs="Arial"/>
                <w:sz w:val="20"/>
                <w:szCs w:val="20"/>
              </w:rPr>
            </w:pPr>
            <w:r w:rsidRPr="00E36DB5">
              <w:rPr>
                <w:rFonts w:ascii="Arial" w:hAnsi="Arial" w:cs="Arial"/>
                <w:sz w:val="20"/>
                <w:szCs w:val="20"/>
              </w:rPr>
              <w:t>1.4.1.</w:t>
            </w:r>
          </w:p>
        </w:tc>
        <w:tc>
          <w:tcPr>
            <w:tcW w:w="3714" w:type="dxa"/>
            <w:shd w:val="clear" w:color="auto" w:fill="auto"/>
            <w:tcMar>
              <w:top w:w="85" w:type="dxa"/>
            </w:tcMar>
            <w:vAlign w:val="center"/>
          </w:tcPr>
          <w:p w14:paraId="0D92F536" w14:textId="175ED6D4" w:rsidR="00B24A79" w:rsidRPr="00E36DB5" w:rsidRDefault="00B24A79" w:rsidP="00B24A79">
            <w:pPr>
              <w:contextualSpacing/>
              <w:rPr>
                <w:rFonts w:ascii="Arial" w:hAnsi="Arial" w:cs="Arial"/>
                <w:sz w:val="20"/>
                <w:szCs w:val="20"/>
              </w:rPr>
            </w:pPr>
            <w:r w:rsidRPr="00E36DB5">
              <w:rPr>
                <w:rFonts w:ascii="Arial" w:hAnsi="Arial" w:cs="Arial"/>
                <w:sz w:val="20"/>
                <w:szCs w:val="20"/>
              </w:rPr>
              <w:t>Hazai tevékenységek</w:t>
            </w:r>
          </w:p>
        </w:tc>
        <w:tc>
          <w:tcPr>
            <w:tcW w:w="3515" w:type="dxa"/>
            <w:shd w:val="clear" w:color="auto" w:fill="auto"/>
            <w:tcMar>
              <w:top w:w="85" w:type="dxa"/>
            </w:tcMar>
            <w:vAlign w:val="center"/>
          </w:tcPr>
          <w:p w14:paraId="59D5E20C" w14:textId="19333B59" w:rsidR="00B24A79" w:rsidRPr="00E36DB5" w:rsidRDefault="00CD171E" w:rsidP="00B24A79">
            <w:pPr>
              <w:contextualSpacing/>
              <w:rPr>
                <w:rFonts w:ascii="Arial" w:hAnsi="Arial" w:cs="Arial"/>
                <w:sz w:val="20"/>
                <w:szCs w:val="20"/>
              </w:rPr>
            </w:pPr>
            <w:r w:rsidRPr="00E36DB5">
              <w:rPr>
                <w:rFonts w:ascii="Arial" w:hAnsi="Arial" w:cs="Arial"/>
                <w:sz w:val="20"/>
                <w:szCs w:val="20"/>
              </w:rPr>
              <w:t>lásd P_01.01. tábla 191. sor</w:t>
            </w:r>
          </w:p>
        </w:tc>
      </w:tr>
      <w:tr w:rsidR="00E36DB5" w:rsidRPr="00E36DB5" w14:paraId="35580440" w14:textId="77777777" w:rsidTr="00387EA5">
        <w:tc>
          <w:tcPr>
            <w:tcW w:w="959" w:type="dxa"/>
            <w:shd w:val="clear" w:color="auto" w:fill="auto"/>
            <w:tcMar>
              <w:top w:w="85" w:type="dxa"/>
            </w:tcMar>
            <w:vAlign w:val="center"/>
          </w:tcPr>
          <w:p w14:paraId="2ADEB5AF" w14:textId="030F55AC" w:rsidR="00B24A79" w:rsidRPr="00E36DB5" w:rsidRDefault="00B24A79" w:rsidP="00B24A79">
            <w:pPr>
              <w:contextualSpacing/>
              <w:rPr>
                <w:rFonts w:ascii="Arial" w:hAnsi="Arial" w:cs="Arial"/>
                <w:sz w:val="20"/>
                <w:szCs w:val="20"/>
              </w:rPr>
            </w:pPr>
            <w:r w:rsidRPr="00E36DB5">
              <w:rPr>
                <w:rFonts w:ascii="Arial" w:hAnsi="Arial" w:cs="Arial"/>
                <w:sz w:val="20"/>
                <w:szCs w:val="20"/>
              </w:rPr>
              <w:t>140</w:t>
            </w:r>
          </w:p>
        </w:tc>
        <w:tc>
          <w:tcPr>
            <w:tcW w:w="1276" w:type="dxa"/>
            <w:vAlign w:val="center"/>
          </w:tcPr>
          <w:p w14:paraId="3CECC3A1" w14:textId="78FFC9E8" w:rsidR="00B24A79" w:rsidRPr="00E36DB5" w:rsidRDefault="00B24A79" w:rsidP="00B24A79">
            <w:pPr>
              <w:contextualSpacing/>
              <w:rPr>
                <w:rFonts w:ascii="Arial" w:hAnsi="Arial" w:cs="Arial"/>
                <w:sz w:val="20"/>
                <w:szCs w:val="20"/>
              </w:rPr>
            </w:pPr>
            <w:r w:rsidRPr="00E36DB5">
              <w:rPr>
                <w:rFonts w:ascii="Arial" w:hAnsi="Arial" w:cs="Arial"/>
                <w:sz w:val="20"/>
                <w:szCs w:val="20"/>
              </w:rPr>
              <w:t>1.4.2.</w:t>
            </w:r>
          </w:p>
        </w:tc>
        <w:tc>
          <w:tcPr>
            <w:tcW w:w="3714" w:type="dxa"/>
            <w:shd w:val="clear" w:color="auto" w:fill="auto"/>
            <w:tcMar>
              <w:top w:w="85" w:type="dxa"/>
            </w:tcMar>
            <w:vAlign w:val="center"/>
          </w:tcPr>
          <w:p w14:paraId="6219D526" w14:textId="2C642E8D" w:rsidR="00B24A79" w:rsidRPr="00E36DB5" w:rsidRDefault="00B24A79" w:rsidP="00387EA5">
            <w:pPr>
              <w:contextualSpacing/>
              <w:jc w:val="both"/>
              <w:rPr>
                <w:rFonts w:ascii="Arial" w:hAnsi="Arial" w:cs="Arial"/>
                <w:sz w:val="20"/>
                <w:szCs w:val="20"/>
              </w:rPr>
            </w:pPr>
            <w:r w:rsidRPr="00E36DB5">
              <w:rPr>
                <w:rFonts w:ascii="Arial" w:hAnsi="Arial" w:cs="Arial"/>
                <w:sz w:val="20"/>
                <w:szCs w:val="20"/>
              </w:rPr>
              <w:t>Más EGT</w:t>
            </w:r>
            <w:r w:rsidR="00930335" w:rsidRPr="00E36DB5">
              <w:rPr>
                <w:rFonts w:ascii="Arial" w:hAnsi="Arial" w:cs="Arial"/>
                <w:sz w:val="20"/>
                <w:szCs w:val="20"/>
              </w:rPr>
              <w:t>-</w:t>
            </w:r>
            <w:r w:rsidR="006B5E04" w:rsidRPr="00E36DB5">
              <w:rPr>
                <w:rFonts w:ascii="Arial" w:hAnsi="Arial" w:cs="Arial"/>
                <w:sz w:val="20"/>
                <w:szCs w:val="20"/>
              </w:rPr>
              <w:t>állam</w:t>
            </w:r>
            <w:r w:rsidRPr="00E36DB5">
              <w:rPr>
                <w:rFonts w:ascii="Arial" w:hAnsi="Arial" w:cs="Arial"/>
                <w:sz w:val="20"/>
                <w:szCs w:val="20"/>
              </w:rPr>
              <w:t>okban végzett tevékenységek</w:t>
            </w:r>
          </w:p>
        </w:tc>
        <w:tc>
          <w:tcPr>
            <w:tcW w:w="3515" w:type="dxa"/>
            <w:shd w:val="clear" w:color="auto" w:fill="auto"/>
            <w:tcMar>
              <w:top w:w="85" w:type="dxa"/>
            </w:tcMar>
            <w:vAlign w:val="center"/>
          </w:tcPr>
          <w:p w14:paraId="1412EE98" w14:textId="725DA222" w:rsidR="00B24A79" w:rsidRPr="00E36DB5" w:rsidRDefault="00CD171E" w:rsidP="00B24A79">
            <w:pPr>
              <w:contextualSpacing/>
              <w:rPr>
                <w:rFonts w:ascii="Arial" w:hAnsi="Arial" w:cs="Arial"/>
                <w:sz w:val="20"/>
                <w:szCs w:val="20"/>
              </w:rPr>
            </w:pPr>
            <w:r w:rsidRPr="00E36DB5">
              <w:rPr>
                <w:rFonts w:ascii="Arial" w:hAnsi="Arial" w:cs="Arial"/>
                <w:sz w:val="20"/>
                <w:szCs w:val="20"/>
              </w:rPr>
              <w:t>lásd P_01.01. tábla 192. sor</w:t>
            </w:r>
          </w:p>
        </w:tc>
      </w:tr>
      <w:tr w:rsidR="00E36DB5" w:rsidRPr="00E36DB5" w14:paraId="6FC6B85F" w14:textId="77777777" w:rsidTr="00387EA5">
        <w:tc>
          <w:tcPr>
            <w:tcW w:w="959" w:type="dxa"/>
            <w:shd w:val="clear" w:color="auto" w:fill="auto"/>
            <w:tcMar>
              <w:top w:w="85" w:type="dxa"/>
            </w:tcMar>
            <w:vAlign w:val="center"/>
          </w:tcPr>
          <w:p w14:paraId="0CA7EC96" w14:textId="4F37D708" w:rsidR="00B24A79" w:rsidRPr="00E36DB5" w:rsidRDefault="00B24A79" w:rsidP="00B24A79">
            <w:pPr>
              <w:contextualSpacing/>
              <w:rPr>
                <w:rFonts w:ascii="Arial" w:hAnsi="Arial" w:cs="Arial"/>
                <w:sz w:val="20"/>
                <w:szCs w:val="20"/>
              </w:rPr>
            </w:pPr>
            <w:r w:rsidRPr="00E36DB5">
              <w:rPr>
                <w:rFonts w:ascii="Arial" w:hAnsi="Arial" w:cs="Arial"/>
                <w:sz w:val="20"/>
                <w:szCs w:val="20"/>
              </w:rPr>
              <w:t>150</w:t>
            </w:r>
          </w:p>
        </w:tc>
        <w:tc>
          <w:tcPr>
            <w:tcW w:w="1276" w:type="dxa"/>
            <w:vAlign w:val="center"/>
          </w:tcPr>
          <w:p w14:paraId="212BE819" w14:textId="0F9A3C11" w:rsidR="00B24A79" w:rsidRPr="00E36DB5" w:rsidRDefault="00B24A79" w:rsidP="00B24A79">
            <w:pPr>
              <w:contextualSpacing/>
              <w:rPr>
                <w:rFonts w:ascii="Arial" w:hAnsi="Arial" w:cs="Arial"/>
                <w:sz w:val="20"/>
                <w:szCs w:val="20"/>
              </w:rPr>
            </w:pPr>
            <w:r w:rsidRPr="00E36DB5">
              <w:rPr>
                <w:rFonts w:ascii="Arial" w:hAnsi="Arial" w:cs="Arial"/>
                <w:sz w:val="20"/>
                <w:szCs w:val="20"/>
              </w:rPr>
              <w:t>1.4.3.</w:t>
            </w:r>
          </w:p>
        </w:tc>
        <w:tc>
          <w:tcPr>
            <w:tcW w:w="3714" w:type="dxa"/>
            <w:shd w:val="clear" w:color="auto" w:fill="auto"/>
            <w:tcMar>
              <w:top w:w="85" w:type="dxa"/>
            </w:tcMar>
            <w:vAlign w:val="center"/>
          </w:tcPr>
          <w:p w14:paraId="2C73C400" w14:textId="1A5A9F28" w:rsidR="00B24A79" w:rsidRPr="00E36DB5" w:rsidRDefault="00696FD9" w:rsidP="00387EA5">
            <w:pPr>
              <w:contextualSpacing/>
              <w:jc w:val="both"/>
              <w:rPr>
                <w:rFonts w:ascii="Arial" w:hAnsi="Arial" w:cs="Arial"/>
                <w:sz w:val="20"/>
                <w:szCs w:val="20"/>
              </w:rPr>
            </w:pPr>
            <w:r w:rsidRPr="00E36DB5">
              <w:rPr>
                <w:rFonts w:ascii="Arial" w:hAnsi="Arial" w:cs="Arial"/>
                <w:sz w:val="20"/>
                <w:szCs w:val="20"/>
              </w:rPr>
              <w:t>Harmadik ország</w:t>
            </w:r>
            <w:r w:rsidR="00B24A79" w:rsidRPr="00E36DB5">
              <w:rPr>
                <w:rFonts w:ascii="Arial" w:hAnsi="Arial" w:cs="Arial"/>
                <w:sz w:val="20"/>
                <w:szCs w:val="20"/>
              </w:rPr>
              <w:t>ban végzett tevékenységek</w:t>
            </w:r>
          </w:p>
        </w:tc>
        <w:tc>
          <w:tcPr>
            <w:tcW w:w="3515" w:type="dxa"/>
            <w:shd w:val="clear" w:color="auto" w:fill="auto"/>
            <w:tcMar>
              <w:top w:w="85" w:type="dxa"/>
            </w:tcMar>
            <w:vAlign w:val="center"/>
          </w:tcPr>
          <w:p w14:paraId="70330153" w14:textId="539C34C1" w:rsidR="00B24A79" w:rsidRPr="00E36DB5" w:rsidRDefault="00CD171E" w:rsidP="00B24A79">
            <w:pPr>
              <w:contextualSpacing/>
              <w:rPr>
                <w:rFonts w:ascii="Arial" w:hAnsi="Arial" w:cs="Arial"/>
                <w:sz w:val="20"/>
                <w:szCs w:val="20"/>
              </w:rPr>
            </w:pPr>
            <w:r w:rsidRPr="00E36DB5">
              <w:rPr>
                <w:rFonts w:ascii="Arial" w:hAnsi="Arial" w:cs="Arial"/>
                <w:sz w:val="20"/>
                <w:szCs w:val="20"/>
              </w:rPr>
              <w:t>lásd P_01.01. tábla 193. sor</w:t>
            </w:r>
          </w:p>
        </w:tc>
      </w:tr>
      <w:tr w:rsidR="00E36DB5" w:rsidRPr="00E36DB5" w14:paraId="2E93C54D" w14:textId="77777777" w:rsidTr="00387EA5">
        <w:tc>
          <w:tcPr>
            <w:tcW w:w="959" w:type="dxa"/>
            <w:shd w:val="clear" w:color="auto" w:fill="auto"/>
            <w:tcMar>
              <w:top w:w="85" w:type="dxa"/>
            </w:tcMar>
            <w:vAlign w:val="center"/>
          </w:tcPr>
          <w:p w14:paraId="43154561" w14:textId="0357BAC6" w:rsidR="00B24A79" w:rsidRPr="00E36DB5" w:rsidRDefault="00B24A79" w:rsidP="00B24A79">
            <w:pPr>
              <w:contextualSpacing/>
              <w:rPr>
                <w:rFonts w:ascii="Arial" w:hAnsi="Arial" w:cs="Arial"/>
                <w:sz w:val="20"/>
                <w:szCs w:val="20"/>
              </w:rPr>
            </w:pPr>
            <w:r w:rsidRPr="00E36DB5">
              <w:rPr>
                <w:rFonts w:ascii="Arial" w:hAnsi="Arial" w:cs="Arial"/>
                <w:sz w:val="20"/>
                <w:szCs w:val="20"/>
              </w:rPr>
              <w:t>160</w:t>
            </w:r>
          </w:p>
        </w:tc>
        <w:tc>
          <w:tcPr>
            <w:tcW w:w="1276" w:type="dxa"/>
            <w:vAlign w:val="center"/>
          </w:tcPr>
          <w:p w14:paraId="221381DE" w14:textId="519754C6" w:rsidR="00B24A79" w:rsidRPr="00E36DB5" w:rsidRDefault="00B24A79" w:rsidP="00B24A79">
            <w:pPr>
              <w:contextualSpacing/>
              <w:rPr>
                <w:rFonts w:ascii="Arial" w:hAnsi="Arial" w:cs="Arial"/>
                <w:sz w:val="20"/>
                <w:szCs w:val="20"/>
              </w:rPr>
            </w:pPr>
            <w:r w:rsidRPr="00E36DB5">
              <w:rPr>
                <w:rFonts w:ascii="Arial" w:hAnsi="Arial" w:cs="Arial"/>
                <w:sz w:val="20"/>
                <w:szCs w:val="20"/>
              </w:rPr>
              <w:t>1.5.</w:t>
            </w:r>
          </w:p>
        </w:tc>
        <w:tc>
          <w:tcPr>
            <w:tcW w:w="3714" w:type="dxa"/>
            <w:shd w:val="clear" w:color="auto" w:fill="auto"/>
            <w:tcMar>
              <w:top w:w="85" w:type="dxa"/>
            </w:tcMar>
            <w:vAlign w:val="center"/>
          </w:tcPr>
          <w:p w14:paraId="6169DD24" w14:textId="7E1E6927" w:rsidR="00B24A79" w:rsidRPr="00E36DB5" w:rsidRDefault="00B24A79" w:rsidP="00B24A79">
            <w:pPr>
              <w:contextualSpacing/>
              <w:rPr>
                <w:rFonts w:ascii="Arial" w:hAnsi="Arial" w:cs="Arial"/>
                <w:sz w:val="20"/>
                <w:szCs w:val="20"/>
              </w:rPr>
            </w:pPr>
            <w:r w:rsidRPr="00E36DB5">
              <w:rPr>
                <w:rFonts w:ascii="Arial" w:hAnsi="Arial" w:cs="Arial"/>
                <w:sz w:val="20"/>
                <w:szCs w:val="20"/>
              </w:rPr>
              <w:t>Központi bankoknak nyújtott hitelek és előlegek (fordított visszavásárlási hitelek kivételével)</w:t>
            </w:r>
          </w:p>
        </w:tc>
        <w:tc>
          <w:tcPr>
            <w:tcW w:w="3515" w:type="dxa"/>
            <w:shd w:val="clear" w:color="auto" w:fill="auto"/>
            <w:tcMar>
              <w:top w:w="85" w:type="dxa"/>
            </w:tcMar>
            <w:vAlign w:val="center"/>
          </w:tcPr>
          <w:p w14:paraId="35559076" w14:textId="1A04BCDE" w:rsidR="00B24A79" w:rsidRPr="00E36DB5" w:rsidRDefault="00CD171E" w:rsidP="00B24A79">
            <w:pPr>
              <w:contextualSpacing/>
              <w:rPr>
                <w:rFonts w:ascii="Arial" w:hAnsi="Arial" w:cs="Arial"/>
                <w:sz w:val="20"/>
                <w:szCs w:val="20"/>
              </w:rPr>
            </w:pPr>
            <w:r w:rsidRPr="00E36DB5">
              <w:rPr>
                <w:rFonts w:ascii="Arial" w:hAnsi="Arial" w:cs="Arial"/>
                <w:sz w:val="20"/>
                <w:szCs w:val="20"/>
              </w:rPr>
              <w:t>lásd P_01.01. tábla 195. sor</w:t>
            </w:r>
          </w:p>
        </w:tc>
      </w:tr>
      <w:tr w:rsidR="00E36DB5" w:rsidRPr="00E36DB5" w14:paraId="1B29507D" w14:textId="77777777" w:rsidTr="00387EA5">
        <w:tc>
          <w:tcPr>
            <w:tcW w:w="959" w:type="dxa"/>
            <w:shd w:val="clear" w:color="auto" w:fill="auto"/>
            <w:tcMar>
              <w:top w:w="85" w:type="dxa"/>
            </w:tcMar>
            <w:vAlign w:val="center"/>
          </w:tcPr>
          <w:p w14:paraId="249BCE6F" w14:textId="5D9A6064" w:rsidR="00B24A79" w:rsidRPr="00E36DB5" w:rsidRDefault="00B24A79" w:rsidP="00B24A79">
            <w:pPr>
              <w:contextualSpacing/>
              <w:rPr>
                <w:rFonts w:ascii="Arial" w:hAnsi="Arial" w:cs="Arial"/>
                <w:sz w:val="20"/>
                <w:szCs w:val="20"/>
              </w:rPr>
            </w:pPr>
            <w:r w:rsidRPr="00E36DB5">
              <w:rPr>
                <w:rFonts w:ascii="Arial" w:hAnsi="Arial" w:cs="Arial"/>
                <w:sz w:val="20"/>
                <w:szCs w:val="20"/>
              </w:rPr>
              <w:t>170</w:t>
            </w:r>
          </w:p>
        </w:tc>
        <w:tc>
          <w:tcPr>
            <w:tcW w:w="1276" w:type="dxa"/>
            <w:vAlign w:val="center"/>
          </w:tcPr>
          <w:p w14:paraId="084B3E3C" w14:textId="49DFFF6A" w:rsidR="00B24A79" w:rsidRPr="00E36DB5" w:rsidRDefault="00B24A79" w:rsidP="00B24A79">
            <w:pPr>
              <w:contextualSpacing/>
              <w:rPr>
                <w:rFonts w:ascii="Arial" w:hAnsi="Arial" w:cs="Arial"/>
                <w:sz w:val="20"/>
                <w:szCs w:val="20"/>
              </w:rPr>
            </w:pPr>
            <w:r w:rsidRPr="00E36DB5">
              <w:rPr>
                <w:rFonts w:ascii="Arial" w:hAnsi="Arial" w:cs="Arial"/>
                <w:sz w:val="20"/>
                <w:szCs w:val="20"/>
              </w:rPr>
              <w:t>1.6.</w:t>
            </w:r>
          </w:p>
        </w:tc>
        <w:tc>
          <w:tcPr>
            <w:tcW w:w="3714" w:type="dxa"/>
            <w:shd w:val="clear" w:color="auto" w:fill="auto"/>
            <w:tcMar>
              <w:top w:w="85" w:type="dxa"/>
            </w:tcMar>
            <w:vAlign w:val="center"/>
          </w:tcPr>
          <w:p w14:paraId="499F4954" w14:textId="791FC6D3" w:rsidR="00B24A79" w:rsidRPr="00E36DB5" w:rsidRDefault="00B24A79" w:rsidP="00B24A79">
            <w:pPr>
              <w:contextualSpacing/>
              <w:rPr>
                <w:rFonts w:ascii="Arial" w:hAnsi="Arial" w:cs="Arial"/>
                <w:sz w:val="20"/>
                <w:szCs w:val="20"/>
              </w:rPr>
            </w:pPr>
            <w:r w:rsidRPr="00E36DB5">
              <w:rPr>
                <w:rFonts w:ascii="Arial" w:hAnsi="Arial" w:cs="Arial"/>
                <w:sz w:val="20"/>
                <w:szCs w:val="20"/>
              </w:rPr>
              <w:t>Államháztartásoknak nyújtott hitelek és előlegek (fordított visszavásárlási hitelek kivételével)</w:t>
            </w:r>
          </w:p>
        </w:tc>
        <w:tc>
          <w:tcPr>
            <w:tcW w:w="3515" w:type="dxa"/>
            <w:shd w:val="clear" w:color="auto" w:fill="auto"/>
            <w:tcMar>
              <w:top w:w="85" w:type="dxa"/>
            </w:tcMar>
            <w:vAlign w:val="center"/>
          </w:tcPr>
          <w:p w14:paraId="7ECD0AEE" w14:textId="152ACA83" w:rsidR="00B24A79" w:rsidRPr="00E36DB5" w:rsidRDefault="00CD171E" w:rsidP="00B24A79">
            <w:pPr>
              <w:contextualSpacing/>
              <w:rPr>
                <w:rFonts w:ascii="Arial" w:hAnsi="Arial" w:cs="Arial"/>
                <w:sz w:val="20"/>
                <w:szCs w:val="20"/>
              </w:rPr>
            </w:pPr>
            <w:r w:rsidRPr="00E36DB5">
              <w:rPr>
                <w:rFonts w:ascii="Arial" w:hAnsi="Arial" w:cs="Arial"/>
                <w:sz w:val="20"/>
                <w:szCs w:val="20"/>
              </w:rPr>
              <w:t>lásd P_01.01. tábla 197. sor</w:t>
            </w:r>
          </w:p>
        </w:tc>
      </w:tr>
    </w:tbl>
    <w:p w14:paraId="59F66A9C" w14:textId="77777777" w:rsidR="00FE6B4B" w:rsidRPr="001B098C" w:rsidRDefault="00FE6B4B" w:rsidP="00FE6B4B">
      <w:pPr>
        <w:rPr>
          <w:rFonts w:ascii="Arial" w:hAnsi="Arial" w:cs="Arial"/>
          <w:sz w:val="20"/>
          <w:szCs w:val="20"/>
        </w:rPr>
      </w:pPr>
    </w:p>
    <w:p w14:paraId="5D64B70A" w14:textId="77777777" w:rsidR="00FE6B4B" w:rsidRDefault="00FE6B4B" w:rsidP="00FE6B4B">
      <w:pPr>
        <w:rPr>
          <w:rFonts w:ascii="Arial" w:hAnsi="Arial" w:cs="Arial"/>
          <w:b/>
          <w:sz w:val="20"/>
          <w:szCs w:val="20"/>
        </w:rPr>
      </w:pPr>
      <w:r w:rsidRPr="00352BD3">
        <w:rPr>
          <w:rFonts w:ascii="Arial" w:hAnsi="Arial" w:cs="Arial"/>
          <w:b/>
          <w:sz w:val="20"/>
          <w:szCs w:val="20"/>
        </w:rPr>
        <w:t>A tábla oszlopai</w:t>
      </w:r>
    </w:p>
    <w:p w14:paraId="7BCEE8B3" w14:textId="77777777" w:rsidR="00FE6B4B" w:rsidRPr="00352BD3" w:rsidRDefault="00FE6B4B" w:rsidP="00FE6B4B">
      <w:pPr>
        <w:rPr>
          <w:rFonts w:ascii="Arial" w:hAnsi="Arial" w:cs="Arial"/>
          <w:b/>
          <w:sz w:val="20"/>
          <w:szCs w:val="20"/>
        </w:rPr>
      </w:pPr>
    </w:p>
    <w:tbl>
      <w:tblPr>
        <w:tblW w:w="9464" w:type="dxa"/>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Look w:val="04A0" w:firstRow="1" w:lastRow="0" w:firstColumn="1" w:lastColumn="0" w:noHBand="0" w:noVBand="1"/>
      </w:tblPr>
      <w:tblGrid>
        <w:gridCol w:w="905"/>
        <w:gridCol w:w="3456"/>
        <w:gridCol w:w="5103"/>
      </w:tblGrid>
      <w:tr w:rsidR="00FE6B4B" w:rsidRPr="00191B6F" w14:paraId="0CEF9A44" w14:textId="77777777" w:rsidTr="00960BA9">
        <w:tc>
          <w:tcPr>
            <w:tcW w:w="905" w:type="dxa"/>
            <w:shd w:val="clear" w:color="auto" w:fill="auto"/>
            <w:tcMar>
              <w:top w:w="85" w:type="dxa"/>
            </w:tcMar>
            <w:vAlign w:val="center"/>
          </w:tcPr>
          <w:p w14:paraId="4BC214B6" w14:textId="77777777" w:rsidR="00FE6B4B" w:rsidRPr="0091468E" w:rsidRDefault="00FE6B4B" w:rsidP="00D16669">
            <w:pPr>
              <w:contextualSpacing/>
              <w:rPr>
                <w:rFonts w:ascii="Arial" w:hAnsi="Arial" w:cs="Arial"/>
                <w:b/>
                <w:sz w:val="20"/>
                <w:szCs w:val="20"/>
              </w:rPr>
            </w:pPr>
            <w:r w:rsidRPr="0091468E">
              <w:rPr>
                <w:rFonts w:ascii="Arial" w:hAnsi="Arial" w:cs="Arial"/>
                <w:b/>
                <w:sz w:val="20"/>
                <w:szCs w:val="20"/>
              </w:rPr>
              <w:t>Oszlop</w:t>
            </w:r>
          </w:p>
        </w:tc>
        <w:tc>
          <w:tcPr>
            <w:tcW w:w="3456" w:type="dxa"/>
            <w:shd w:val="clear" w:color="auto" w:fill="auto"/>
            <w:tcMar>
              <w:top w:w="85" w:type="dxa"/>
            </w:tcMar>
            <w:vAlign w:val="center"/>
          </w:tcPr>
          <w:p w14:paraId="6FA1635B" w14:textId="77777777" w:rsidR="00FE6B4B" w:rsidRPr="0091468E" w:rsidRDefault="00FE6B4B" w:rsidP="00D16669">
            <w:pPr>
              <w:contextualSpacing/>
              <w:rPr>
                <w:rFonts w:ascii="Arial" w:hAnsi="Arial" w:cs="Arial"/>
                <w:b/>
                <w:sz w:val="20"/>
                <w:szCs w:val="20"/>
              </w:rPr>
            </w:pPr>
            <w:r w:rsidRPr="0091468E">
              <w:rPr>
                <w:rFonts w:ascii="Arial" w:hAnsi="Arial" w:cs="Arial"/>
                <w:b/>
                <w:sz w:val="20"/>
                <w:szCs w:val="20"/>
              </w:rPr>
              <w:t>Megnevezés</w:t>
            </w:r>
          </w:p>
        </w:tc>
        <w:tc>
          <w:tcPr>
            <w:tcW w:w="5103" w:type="dxa"/>
            <w:shd w:val="clear" w:color="auto" w:fill="auto"/>
            <w:tcMar>
              <w:top w:w="85" w:type="dxa"/>
            </w:tcMar>
            <w:vAlign w:val="center"/>
          </w:tcPr>
          <w:p w14:paraId="1D6D80B6" w14:textId="77777777" w:rsidR="00FE6B4B" w:rsidRPr="00191B6F" w:rsidRDefault="00FE6B4B" w:rsidP="00D16669">
            <w:pPr>
              <w:contextualSpacing/>
              <w:rPr>
                <w:rFonts w:ascii="Arial" w:hAnsi="Arial" w:cs="Arial"/>
                <w:sz w:val="20"/>
                <w:szCs w:val="20"/>
              </w:rPr>
            </w:pPr>
            <w:r w:rsidRPr="00191B6F">
              <w:rPr>
                <w:rFonts w:ascii="Arial" w:hAnsi="Arial" w:cs="Arial"/>
                <w:b/>
                <w:sz w:val="20"/>
                <w:szCs w:val="20"/>
              </w:rPr>
              <w:t>Hivatkozások jogszabályokra és megjegyzések</w:t>
            </w:r>
          </w:p>
        </w:tc>
      </w:tr>
      <w:tr w:rsidR="00FE6B4B" w:rsidRPr="00191B6F" w14:paraId="12B188AD" w14:textId="77777777" w:rsidTr="00960BA9">
        <w:tc>
          <w:tcPr>
            <w:tcW w:w="905" w:type="dxa"/>
            <w:shd w:val="clear" w:color="auto" w:fill="auto"/>
            <w:tcMar>
              <w:top w:w="85" w:type="dxa"/>
            </w:tcMar>
            <w:vAlign w:val="center"/>
          </w:tcPr>
          <w:p w14:paraId="5EFDD581"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010</w:t>
            </w:r>
          </w:p>
        </w:tc>
        <w:tc>
          <w:tcPr>
            <w:tcW w:w="3456" w:type="dxa"/>
            <w:shd w:val="clear" w:color="auto" w:fill="auto"/>
            <w:tcMar>
              <w:top w:w="85" w:type="dxa"/>
            </w:tcMar>
            <w:vAlign w:val="center"/>
          </w:tcPr>
          <w:p w14:paraId="4AF4958C" w14:textId="77777777" w:rsidR="00FE6B4B" w:rsidRPr="00191B6F" w:rsidRDefault="00FE6B4B" w:rsidP="00D16669">
            <w:pPr>
              <w:contextualSpacing/>
              <w:rPr>
                <w:rFonts w:ascii="Arial" w:hAnsi="Arial" w:cs="Arial"/>
                <w:sz w:val="20"/>
                <w:szCs w:val="20"/>
              </w:rPr>
            </w:pPr>
            <w:r>
              <w:rPr>
                <w:rFonts w:ascii="Arial" w:hAnsi="Arial" w:cs="Arial"/>
                <w:sz w:val="20"/>
                <w:szCs w:val="20"/>
              </w:rPr>
              <w:t>Aktuális – tény</w:t>
            </w:r>
          </w:p>
        </w:tc>
        <w:tc>
          <w:tcPr>
            <w:tcW w:w="5103" w:type="dxa"/>
            <w:shd w:val="clear" w:color="auto" w:fill="auto"/>
            <w:tcMar>
              <w:top w:w="85" w:type="dxa"/>
            </w:tcMar>
            <w:vAlign w:val="center"/>
          </w:tcPr>
          <w:p w14:paraId="2419F3FA" w14:textId="77777777" w:rsidR="00FE6B4B" w:rsidRPr="00191B6F" w:rsidRDefault="00FE6B4B" w:rsidP="00D16669">
            <w:pPr>
              <w:contextualSpacing/>
              <w:jc w:val="both"/>
              <w:rPr>
                <w:rFonts w:ascii="Arial" w:hAnsi="Arial" w:cs="Arial"/>
                <w:sz w:val="20"/>
                <w:szCs w:val="20"/>
              </w:rPr>
            </w:pPr>
            <w:r w:rsidRPr="00191B6F">
              <w:rPr>
                <w:rFonts w:ascii="Arial" w:hAnsi="Arial" w:cs="Arial"/>
                <w:sz w:val="20"/>
                <w:szCs w:val="20"/>
              </w:rPr>
              <w:t xml:space="preserve">Ebben az oszlopban </w:t>
            </w:r>
            <w:r>
              <w:rPr>
                <w:rFonts w:ascii="Arial" w:hAnsi="Arial" w:cs="Arial"/>
                <w:sz w:val="20"/>
                <w:szCs w:val="20"/>
              </w:rPr>
              <w:t xml:space="preserve">az előző év végi tényadatot </w:t>
            </w:r>
            <w:r w:rsidRPr="00191B6F">
              <w:rPr>
                <w:rFonts w:ascii="Arial" w:hAnsi="Arial" w:cs="Arial"/>
                <w:sz w:val="20"/>
                <w:szCs w:val="20"/>
              </w:rPr>
              <w:t xml:space="preserve">kell </w:t>
            </w:r>
            <w:r>
              <w:rPr>
                <w:rFonts w:ascii="Arial" w:hAnsi="Arial" w:cs="Arial"/>
                <w:sz w:val="20"/>
                <w:szCs w:val="20"/>
              </w:rPr>
              <w:t>jelenteni</w:t>
            </w:r>
            <w:r w:rsidRPr="00191B6F">
              <w:rPr>
                <w:rFonts w:ascii="Arial" w:hAnsi="Arial" w:cs="Arial"/>
                <w:sz w:val="20"/>
                <w:szCs w:val="20"/>
              </w:rPr>
              <w:t>.</w:t>
            </w:r>
          </w:p>
        </w:tc>
      </w:tr>
      <w:tr w:rsidR="00FE6B4B" w:rsidRPr="00191B6F" w14:paraId="4B4DDCDF" w14:textId="77777777" w:rsidTr="00960BA9">
        <w:tc>
          <w:tcPr>
            <w:tcW w:w="905" w:type="dxa"/>
            <w:shd w:val="clear" w:color="auto" w:fill="auto"/>
            <w:tcMar>
              <w:top w:w="85" w:type="dxa"/>
            </w:tcMar>
            <w:vAlign w:val="center"/>
          </w:tcPr>
          <w:p w14:paraId="3FD519EF"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 xml:space="preserve">020 </w:t>
            </w:r>
          </w:p>
        </w:tc>
        <w:tc>
          <w:tcPr>
            <w:tcW w:w="3456" w:type="dxa"/>
            <w:shd w:val="clear" w:color="auto" w:fill="auto"/>
            <w:tcMar>
              <w:top w:w="85" w:type="dxa"/>
            </w:tcMar>
            <w:vAlign w:val="center"/>
          </w:tcPr>
          <w:p w14:paraId="6D50AB6E"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1 év – terv</w:t>
            </w:r>
          </w:p>
        </w:tc>
        <w:tc>
          <w:tcPr>
            <w:tcW w:w="5103" w:type="dxa"/>
            <w:shd w:val="clear" w:color="auto" w:fill="auto"/>
            <w:tcMar>
              <w:top w:w="85" w:type="dxa"/>
            </w:tcMar>
            <w:vAlign w:val="center"/>
          </w:tcPr>
          <w:p w14:paraId="4ACD9159" w14:textId="77777777" w:rsidR="00FE6B4B" w:rsidRPr="00191B6F" w:rsidRDefault="00FE6B4B" w:rsidP="00D16669">
            <w:pPr>
              <w:contextualSpacing/>
              <w:jc w:val="both"/>
              <w:rPr>
                <w:rFonts w:ascii="Arial" w:hAnsi="Arial" w:cs="Arial"/>
                <w:sz w:val="20"/>
                <w:szCs w:val="20"/>
              </w:rPr>
            </w:pPr>
            <w:r w:rsidRPr="00191B6F">
              <w:rPr>
                <w:rFonts w:ascii="Arial" w:hAnsi="Arial" w:cs="Arial"/>
                <w:sz w:val="20"/>
                <w:szCs w:val="20"/>
              </w:rPr>
              <w:t>Ezt az oszlopot a hitelintézeteknek a normál makrogazdasági helyzet és normál üzletmenet feltételezése mellett tett előrejelzések szerint kell kitölteniük. Az MNB nem ad meg makrogazdasági szcenáriót, a hitelintézetnek a saját becslései közül a legvalószínűbbet kell alkalmaznia.</w:t>
            </w:r>
          </w:p>
        </w:tc>
      </w:tr>
    </w:tbl>
    <w:p w14:paraId="212CFB31" w14:textId="77777777" w:rsidR="00FE6B4B" w:rsidRDefault="00FE6B4B" w:rsidP="00FE6B4B">
      <w:pPr>
        <w:rPr>
          <w:rFonts w:ascii="Arial" w:hAnsi="Arial" w:cs="Arial"/>
          <w:b/>
          <w:sz w:val="20"/>
          <w:szCs w:val="20"/>
        </w:rPr>
      </w:pPr>
    </w:p>
    <w:p w14:paraId="55AD40CB" w14:textId="77777777" w:rsidR="00FE6B4B" w:rsidRPr="007B4234" w:rsidRDefault="00FE6B4B" w:rsidP="00FE6B4B">
      <w:pPr>
        <w:jc w:val="both"/>
        <w:rPr>
          <w:rFonts w:ascii="Arial" w:hAnsi="Arial" w:cs="Arial"/>
          <w:sz w:val="20"/>
          <w:szCs w:val="20"/>
        </w:rPr>
      </w:pPr>
    </w:p>
    <w:p w14:paraId="3433474D" w14:textId="1C73D5E3" w:rsidR="00A76AAD" w:rsidRDefault="0062780E" w:rsidP="00FE6B4B">
      <w:pPr>
        <w:rPr>
          <w:rFonts w:ascii="Arial" w:hAnsi="Arial" w:cs="Arial"/>
          <w:b/>
          <w:sz w:val="20"/>
          <w:szCs w:val="20"/>
        </w:rPr>
      </w:pPr>
      <w:r>
        <w:rPr>
          <w:rFonts w:ascii="Arial" w:hAnsi="Arial" w:cs="Arial"/>
          <w:b/>
          <w:sz w:val="20"/>
          <w:szCs w:val="20"/>
        </w:rPr>
        <w:t xml:space="preserve">8. </w:t>
      </w:r>
      <w:r w:rsidR="00FE6B4B">
        <w:rPr>
          <w:rFonts w:ascii="Arial" w:hAnsi="Arial" w:cs="Arial"/>
          <w:b/>
          <w:sz w:val="20"/>
          <w:szCs w:val="20"/>
        </w:rPr>
        <w:t>P</w:t>
      </w:r>
      <w:r w:rsidR="00857983">
        <w:rPr>
          <w:rFonts w:ascii="Arial" w:hAnsi="Arial" w:cs="Arial"/>
          <w:b/>
          <w:sz w:val="20"/>
          <w:szCs w:val="20"/>
        </w:rPr>
        <w:t>_</w:t>
      </w:r>
      <w:r w:rsidR="00FE6B4B">
        <w:rPr>
          <w:rFonts w:ascii="Arial" w:hAnsi="Arial" w:cs="Arial"/>
          <w:b/>
          <w:sz w:val="20"/>
          <w:szCs w:val="20"/>
        </w:rPr>
        <w:t xml:space="preserve">02.05 Finanszírozási terv </w:t>
      </w:r>
      <w:r w:rsidR="008E3A5A">
        <w:rPr>
          <w:rFonts w:ascii="Arial" w:hAnsi="Arial" w:cs="Arial"/>
          <w:b/>
          <w:caps/>
          <w:sz w:val="20"/>
          <w:szCs w:val="20"/>
          <w:lang w:val="en-US" w:eastAsia="en-GB"/>
        </w:rPr>
        <w:t>–</w:t>
      </w:r>
      <w:r w:rsidR="00FE6B4B">
        <w:rPr>
          <w:rFonts w:ascii="Arial" w:hAnsi="Arial" w:cs="Arial"/>
          <w:b/>
          <w:sz w:val="20"/>
          <w:szCs w:val="20"/>
        </w:rPr>
        <w:t xml:space="preserve"> </w:t>
      </w:r>
      <w:r w:rsidR="00FE6B4B" w:rsidRPr="001B098C">
        <w:rPr>
          <w:rFonts w:ascii="Arial" w:hAnsi="Arial" w:cs="Arial"/>
          <w:b/>
          <w:sz w:val="20"/>
          <w:szCs w:val="20"/>
        </w:rPr>
        <w:t>Árazás: Betét</w:t>
      </w:r>
      <w:r w:rsidR="00D73C74">
        <w:rPr>
          <w:rFonts w:ascii="Arial" w:hAnsi="Arial" w:cs="Arial"/>
          <w:b/>
          <w:sz w:val="20"/>
          <w:szCs w:val="20"/>
        </w:rPr>
        <w:t xml:space="preserve">i és egyéb pénzügyi kötelezettségek </w:t>
      </w:r>
    </w:p>
    <w:p w14:paraId="144390DE" w14:textId="77777777" w:rsidR="00A76AAD" w:rsidRDefault="00A76AAD" w:rsidP="00FE6B4B">
      <w:pPr>
        <w:rPr>
          <w:rFonts w:ascii="Arial" w:hAnsi="Arial" w:cs="Arial"/>
          <w:b/>
          <w:sz w:val="20"/>
          <w:szCs w:val="20"/>
        </w:rPr>
      </w:pPr>
    </w:p>
    <w:p w14:paraId="746294C0" w14:textId="2F05268F" w:rsidR="00A76AAD" w:rsidRPr="001B098C" w:rsidRDefault="00FE6B4B" w:rsidP="00D475AB">
      <w:pPr>
        <w:jc w:val="both"/>
        <w:rPr>
          <w:rFonts w:ascii="Arial" w:hAnsi="Arial" w:cs="Arial"/>
          <w:sz w:val="20"/>
          <w:szCs w:val="20"/>
        </w:rPr>
      </w:pPr>
      <w:r w:rsidRPr="002475F9">
        <w:rPr>
          <w:rFonts w:ascii="Arial" w:hAnsi="Arial" w:cs="Arial"/>
          <w:sz w:val="20"/>
          <w:szCs w:val="20"/>
        </w:rPr>
        <w:t xml:space="preserve">Ebben a táblában a soronként definiált állomány átlagos évesített egységes betéti kamat mutatójának állománnyal </w:t>
      </w:r>
      <w:r w:rsidR="00215D4B">
        <w:rPr>
          <w:rFonts w:ascii="Arial" w:hAnsi="Arial" w:cs="Arial"/>
          <w:sz w:val="20"/>
          <w:szCs w:val="20"/>
        </w:rPr>
        <w:t>(</w:t>
      </w:r>
      <w:r w:rsidR="00215D4B" w:rsidRPr="00537970">
        <w:rPr>
          <w:rFonts w:ascii="Arial" w:hAnsi="Arial" w:cs="Arial"/>
          <w:sz w:val="20"/>
          <w:szCs w:val="20"/>
        </w:rPr>
        <w:t xml:space="preserve">egyes évek végén fennálló </w:t>
      </w:r>
      <w:r w:rsidR="00215D4B">
        <w:rPr>
          <w:rFonts w:ascii="Arial" w:hAnsi="Arial" w:cs="Arial"/>
          <w:sz w:val="20"/>
          <w:szCs w:val="20"/>
        </w:rPr>
        <w:t xml:space="preserve">könyv szerinti értékkel) </w:t>
      </w:r>
      <w:r w:rsidRPr="002475F9">
        <w:rPr>
          <w:rFonts w:ascii="Arial" w:hAnsi="Arial" w:cs="Arial"/>
          <w:sz w:val="20"/>
          <w:szCs w:val="20"/>
        </w:rPr>
        <w:t>súlyozott átlagos értékét kell jelenteni (százalékos érték, egységnyi értékben kifejezve, négy tizedes jegy pontossággal).</w:t>
      </w:r>
      <w:r w:rsidR="00D475AB">
        <w:rPr>
          <w:rFonts w:ascii="Arial" w:hAnsi="Arial" w:cs="Arial"/>
          <w:sz w:val="20"/>
          <w:szCs w:val="20"/>
        </w:rPr>
        <w:t xml:space="preserve"> A betét</w:t>
      </w:r>
      <w:r w:rsidR="00D475AB" w:rsidRPr="00615FD8">
        <w:rPr>
          <w:rFonts w:ascii="Arial" w:hAnsi="Arial" w:cs="Arial"/>
          <w:sz w:val="20"/>
          <w:szCs w:val="20"/>
        </w:rPr>
        <w:t>állomány árazásakor a súlyozásba a forint</w:t>
      </w:r>
      <w:r w:rsidR="002D691F">
        <w:rPr>
          <w:rFonts w:ascii="Arial" w:hAnsi="Arial" w:cs="Arial"/>
          <w:sz w:val="20"/>
          <w:szCs w:val="20"/>
        </w:rPr>
        <w:t>ban fennálló</w:t>
      </w:r>
      <w:r w:rsidR="00D475AB" w:rsidRPr="00615FD8">
        <w:rPr>
          <w:rFonts w:ascii="Arial" w:hAnsi="Arial" w:cs="Arial"/>
          <w:sz w:val="20"/>
          <w:szCs w:val="20"/>
        </w:rPr>
        <w:t xml:space="preserve"> állományon kívül a </w:t>
      </w:r>
      <w:r w:rsidR="002D691F">
        <w:rPr>
          <w:rFonts w:ascii="Arial" w:hAnsi="Arial" w:cs="Arial"/>
          <w:sz w:val="20"/>
          <w:szCs w:val="20"/>
        </w:rPr>
        <w:t>külföldi</w:t>
      </w:r>
      <w:r w:rsidR="00775310">
        <w:rPr>
          <w:rFonts w:ascii="Arial" w:hAnsi="Arial" w:cs="Arial"/>
          <w:sz w:val="20"/>
          <w:szCs w:val="20"/>
        </w:rPr>
        <w:t xml:space="preserve"> </w:t>
      </w:r>
      <w:r w:rsidR="002D691F">
        <w:rPr>
          <w:rFonts w:ascii="Arial" w:hAnsi="Arial" w:cs="Arial"/>
          <w:sz w:val="20"/>
          <w:szCs w:val="20"/>
        </w:rPr>
        <w:t>pénz</w:t>
      </w:r>
      <w:r w:rsidR="00D475AB" w:rsidRPr="00615FD8">
        <w:rPr>
          <w:rFonts w:ascii="Arial" w:hAnsi="Arial" w:cs="Arial"/>
          <w:sz w:val="20"/>
          <w:szCs w:val="20"/>
        </w:rPr>
        <w:t>nemben fennálló állományok bevonása is szükséges oly módon</w:t>
      </w:r>
      <w:r w:rsidR="007833C5">
        <w:rPr>
          <w:rFonts w:ascii="Arial" w:hAnsi="Arial" w:cs="Arial"/>
          <w:sz w:val="20"/>
          <w:szCs w:val="20"/>
        </w:rPr>
        <w:t>,</w:t>
      </w:r>
      <w:r w:rsidR="00D475AB" w:rsidRPr="00615FD8">
        <w:rPr>
          <w:rFonts w:ascii="Arial" w:hAnsi="Arial" w:cs="Arial"/>
          <w:sz w:val="20"/>
          <w:szCs w:val="20"/>
        </w:rPr>
        <w:t xml:space="preserve"> hogy </w:t>
      </w:r>
      <w:r w:rsidR="002D691F" w:rsidRPr="00615FD8">
        <w:rPr>
          <w:rFonts w:ascii="Arial" w:hAnsi="Arial" w:cs="Arial"/>
          <w:sz w:val="20"/>
          <w:szCs w:val="20"/>
        </w:rPr>
        <w:t xml:space="preserve">az átlag kiszámításához </w:t>
      </w:r>
      <w:r w:rsidR="00D475AB" w:rsidRPr="00615FD8">
        <w:rPr>
          <w:rFonts w:ascii="Arial" w:hAnsi="Arial" w:cs="Arial"/>
          <w:sz w:val="20"/>
          <w:szCs w:val="20"/>
        </w:rPr>
        <w:t xml:space="preserve">az egyedi ügyletek mutatóit a hozzájuk tartozó ügyletek forintra átszámított tőkeösszegével </w:t>
      </w:r>
      <w:r w:rsidR="00215D4B">
        <w:rPr>
          <w:rFonts w:ascii="Arial" w:hAnsi="Arial" w:cs="Arial"/>
          <w:sz w:val="20"/>
          <w:szCs w:val="20"/>
        </w:rPr>
        <w:t xml:space="preserve">(könyv szerinti értékkel) </w:t>
      </w:r>
      <w:r w:rsidR="00D475AB" w:rsidRPr="00615FD8">
        <w:rPr>
          <w:rFonts w:ascii="Arial" w:hAnsi="Arial" w:cs="Arial"/>
          <w:sz w:val="20"/>
          <w:szCs w:val="20"/>
        </w:rPr>
        <w:t>kell súlyozni</w:t>
      </w:r>
      <w:r w:rsidR="00FF1640">
        <w:rPr>
          <w:rFonts w:ascii="Arial" w:hAnsi="Arial" w:cs="Arial"/>
          <w:sz w:val="20"/>
          <w:szCs w:val="20"/>
        </w:rPr>
        <w:t>.</w:t>
      </w:r>
    </w:p>
    <w:p w14:paraId="7807B69D" w14:textId="071B29F5" w:rsidR="00FE6B4B" w:rsidRDefault="00FE6B4B" w:rsidP="00FE6B4B">
      <w:pPr>
        <w:rPr>
          <w:rFonts w:ascii="Arial" w:hAnsi="Arial" w:cs="Arial"/>
          <w:sz w:val="20"/>
          <w:szCs w:val="20"/>
        </w:rPr>
      </w:pPr>
    </w:p>
    <w:p w14:paraId="3825491D" w14:textId="13125135" w:rsidR="00A76AAD" w:rsidRPr="00A76AAD" w:rsidRDefault="006B36F4" w:rsidP="00FE6B4B">
      <w:pPr>
        <w:rPr>
          <w:rFonts w:ascii="Arial" w:hAnsi="Arial" w:cs="Arial"/>
          <w:b/>
          <w:bCs/>
          <w:sz w:val="20"/>
          <w:szCs w:val="20"/>
        </w:rPr>
      </w:pPr>
      <w:r w:rsidRPr="00A76AAD">
        <w:rPr>
          <w:rFonts w:ascii="Arial" w:hAnsi="Arial" w:cs="Arial"/>
          <w:b/>
          <w:bCs/>
          <w:sz w:val="20"/>
          <w:szCs w:val="20"/>
        </w:rPr>
        <w:t>A tábla sorai</w:t>
      </w:r>
    </w:p>
    <w:p w14:paraId="767130E1" w14:textId="77777777" w:rsidR="00A76AAD" w:rsidRPr="001B098C" w:rsidRDefault="00A76AAD" w:rsidP="00FE6B4B">
      <w:pPr>
        <w:rPr>
          <w:rFonts w:ascii="Arial" w:hAnsi="Arial" w:cs="Arial"/>
          <w:sz w:val="20"/>
          <w:szCs w:val="20"/>
        </w:rPr>
      </w:pPr>
    </w:p>
    <w:tbl>
      <w:tblPr>
        <w:tblW w:w="9464" w:type="dxa"/>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Layout w:type="fixed"/>
        <w:tblLook w:val="04A0" w:firstRow="1" w:lastRow="0" w:firstColumn="1" w:lastColumn="0" w:noHBand="0" w:noVBand="1"/>
      </w:tblPr>
      <w:tblGrid>
        <w:gridCol w:w="959"/>
        <w:gridCol w:w="1276"/>
        <w:gridCol w:w="2976"/>
        <w:gridCol w:w="4253"/>
      </w:tblGrid>
      <w:tr w:rsidR="00FE6B4B" w:rsidRPr="00191B6F" w14:paraId="4B29C76B" w14:textId="77777777" w:rsidTr="00960BA9">
        <w:tc>
          <w:tcPr>
            <w:tcW w:w="959" w:type="dxa"/>
            <w:shd w:val="clear" w:color="auto" w:fill="auto"/>
            <w:tcMar>
              <w:top w:w="85" w:type="dxa"/>
            </w:tcMar>
            <w:vAlign w:val="center"/>
          </w:tcPr>
          <w:p w14:paraId="5AF5A28A" w14:textId="77777777" w:rsidR="00FE6B4B" w:rsidRPr="0091468E" w:rsidRDefault="00FE6B4B" w:rsidP="00D16669">
            <w:pPr>
              <w:contextualSpacing/>
              <w:rPr>
                <w:rFonts w:ascii="Arial" w:hAnsi="Arial" w:cs="Arial"/>
                <w:b/>
                <w:sz w:val="20"/>
                <w:szCs w:val="20"/>
              </w:rPr>
            </w:pPr>
            <w:r>
              <w:rPr>
                <w:rFonts w:ascii="Arial" w:hAnsi="Arial" w:cs="Arial"/>
                <w:b/>
                <w:sz w:val="20"/>
                <w:szCs w:val="20"/>
              </w:rPr>
              <w:t>Sorkód</w:t>
            </w:r>
          </w:p>
        </w:tc>
        <w:tc>
          <w:tcPr>
            <w:tcW w:w="1276" w:type="dxa"/>
            <w:vAlign w:val="center"/>
          </w:tcPr>
          <w:p w14:paraId="1C696B91" w14:textId="77777777" w:rsidR="00FE6B4B" w:rsidRPr="0091468E" w:rsidRDefault="00FE6B4B" w:rsidP="00D16669">
            <w:pPr>
              <w:contextualSpacing/>
              <w:rPr>
                <w:rFonts w:ascii="Arial" w:hAnsi="Arial" w:cs="Arial"/>
                <w:b/>
                <w:sz w:val="20"/>
                <w:szCs w:val="20"/>
              </w:rPr>
            </w:pPr>
            <w:r>
              <w:rPr>
                <w:rFonts w:ascii="Arial" w:hAnsi="Arial" w:cs="Arial"/>
                <w:b/>
                <w:sz w:val="20"/>
                <w:szCs w:val="20"/>
              </w:rPr>
              <w:t>Hierarchia</w:t>
            </w:r>
          </w:p>
        </w:tc>
        <w:tc>
          <w:tcPr>
            <w:tcW w:w="2976" w:type="dxa"/>
            <w:shd w:val="clear" w:color="auto" w:fill="auto"/>
            <w:tcMar>
              <w:top w:w="85" w:type="dxa"/>
            </w:tcMar>
            <w:vAlign w:val="center"/>
          </w:tcPr>
          <w:p w14:paraId="13504E94" w14:textId="77777777" w:rsidR="00FE6B4B" w:rsidRPr="0091468E" w:rsidRDefault="00FE6B4B" w:rsidP="00D16669">
            <w:pPr>
              <w:contextualSpacing/>
              <w:jc w:val="center"/>
              <w:rPr>
                <w:rFonts w:ascii="Arial" w:hAnsi="Arial" w:cs="Arial"/>
                <w:b/>
                <w:sz w:val="20"/>
                <w:szCs w:val="20"/>
              </w:rPr>
            </w:pPr>
            <w:r w:rsidRPr="0091468E">
              <w:rPr>
                <w:rFonts w:ascii="Arial" w:hAnsi="Arial" w:cs="Arial"/>
                <w:b/>
                <w:sz w:val="20"/>
                <w:szCs w:val="20"/>
              </w:rPr>
              <w:t>Megnevezés</w:t>
            </w:r>
          </w:p>
        </w:tc>
        <w:tc>
          <w:tcPr>
            <w:tcW w:w="4253" w:type="dxa"/>
            <w:shd w:val="clear" w:color="auto" w:fill="auto"/>
            <w:tcMar>
              <w:top w:w="85" w:type="dxa"/>
            </w:tcMar>
            <w:vAlign w:val="center"/>
          </w:tcPr>
          <w:p w14:paraId="0AE34063" w14:textId="77777777" w:rsidR="00FE6B4B" w:rsidRPr="00191B6F" w:rsidRDefault="00FE6B4B" w:rsidP="00D16669">
            <w:pPr>
              <w:contextualSpacing/>
              <w:jc w:val="center"/>
              <w:rPr>
                <w:rFonts w:ascii="Arial" w:hAnsi="Arial" w:cs="Arial"/>
                <w:sz w:val="20"/>
                <w:szCs w:val="20"/>
              </w:rPr>
            </w:pPr>
            <w:r w:rsidRPr="00191B6F">
              <w:rPr>
                <w:rFonts w:ascii="Arial" w:hAnsi="Arial" w:cs="Arial"/>
                <w:b/>
                <w:sz w:val="20"/>
                <w:szCs w:val="20"/>
              </w:rPr>
              <w:t>Hivatkozások jogszabályokra és megjegyzések</w:t>
            </w:r>
          </w:p>
        </w:tc>
      </w:tr>
      <w:tr w:rsidR="00FE6B4B" w:rsidRPr="00191B6F" w14:paraId="1BFF6026" w14:textId="77777777" w:rsidTr="00960BA9">
        <w:tc>
          <w:tcPr>
            <w:tcW w:w="959" w:type="dxa"/>
            <w:shd w:val="clear" w:color="auto" w:fill="auto"/>
            <w:tcMar>
              <w:top w:w="85" w:type="dxa"/>
            </w:tcMar>
            <w:vAlign w:val="center"/>
          </w:tcPr>
          <w:p w14:paraId="1CD42938" w14:textId="77777777" w:rsidR="00FE6B4B" w:rsidRPr="00191B6F" w:rsidRDefault="00FE6B4B" w:rsidP="00D16669">
            <w:pPr>
              <w:contextualSpacing/>
              <w:rPr>
                <w:rFonts w:ascii="Arial" w:hAnsi="Arial" w:cs="Arial"/>
                <w:sz w:val="20"/>
                <w:szCs w:val="20"/>
              </w:rPr>
            </w:pPr>
            <w:r>
              <w:rPr>
                <w:rFonts w:ascii="Arial" w:hAnsi="Arial" w:cs="Arial"/>
                <w:sz w:val="20"/>
                <w:szCs w:val="20"/>
              </w:rPr>
              <w:t>010</w:t>
            </w:r>
          </w:p>
        </w:tc>
        <w:tc>
          <w:tcPr>
            <w:tcW w:w="1276" w:type="dxa"/>
            <w:vAlign w:val="center"/>
          </w:tcPr>
          <w:p w14:paraId="123DF88D" w14:textId="77777777" w:rsidR="00FE6B4B" w:rsidRDefault="00FE6B4B" w:rsidP="00D16669">
            <w:pPr>
              <w:contextualSpacing/>
              <w:rPr>
                <w:rFonts w:ascii="Arial" w:hAnsi="Arial" w:cs="Arial"/>
                <w:sz w:val="20"/>
                <w:szCs w:val="20"/>
              </w:rPr>
            </w:pPr>
            <w:r w:rsidRPr="00CC769B">
              <w:rPr>
                <w:rFonts w:ascii="Arial" w:hAnsi="Arial" w:cs="Arial"/>
                <w:sz w:val="20"/>
                <w:szCs w:val="20"/>
              </w:rPr>
              <w:t>1.1.</w:t>
            </w:r>
          </w:p>
        </w:tc>
        <w:tc>
          <w:tcPr>
            <w:tcW w:w="2976" w:type="dxa"/>
            <w:shd w:val="clear" w:color="auto" w:fill="auto"/>
            <w:tcMar>
              <w:top w:w="85" w:type="dxa"/>
            </w:tcMar>
            <w:vAlign w:val="center"/>
          </w:tcPr>
          <w:p w14:paraId="6E74FD54" w14:textId="22E12322" w:rsidR="00FE6B4B" w:rsidRPr="00191B6F" w:rsidRDefault="00FB2CCF" w:rsidP="00D16669">
            <w:pPr>
              <w:contextualSpacing/>
              <w:rPr>
                <w:rFonts w:ascii="Arial" w:hAnsi="Arial" w:cs="Arial"/>
                <w:sz w:val="20"/>
                <w:szCs w:val="20"/>
              </w:rPr>
            </w:pPr>
            <w:r>
              <w:rPr>
                <w:rFonts w:ascii="Arial" w:hAnsi="Arial" w:cs="Arial"/>
                <w:sz w:val="20"/>
                <w:szCs w:val="20"/>
              </w:rPr>
              <w:t>H</w:t>
            </w:r>
            <w:r w:rsidR="00FE6B4B">
              <w:rPr>
                <w:rFonts w:ascii="Arial" w:hAnsi="Arial" w:cs="Arial"/>
                <w:sz w:val="20"/>
                <w:szCs w:val="20"/>
              </w:rPr>
              <w:t>áztartásoktól</w:t>
            </w:r>
            <w:r w:rsidR="007F41D7">
              <w:rPr>
                <w:rFonts w:ascii="Arial" w:hAnsi="Arial" w:cs="Arial"/>
                <w:sz w:val="20"/>
                <w:szCs w:val="20"/>
              </w:rPr>
              <w:t xml:space="preserve"> kapott betétek </w:t>
            </w:r>
            <w:r w:rsidR="00C43CE3" w:rsidRPr="00C43CE3">
              <w:rPr>
                <w:rFonts w:ascii="Arial" w:hAnsi="Arial" w:cs="Arial"/>
                <w:sz w:val="20"/>
                <w:szCs w:val="20"/>
              </w:rPr>
              <w:t>(visszavásárlási megállapodások kivételével)</w:t>
            </w:r>
          </w:p>
        </w:tc>
        <w:tc>
          <w:tcPr>
            <w:tcW w:w="4253" w:type="dxa"/>
            <w:shd w:val="clear" w:color="auto" w:fill="auto"/>
            <w:tcMar>
              <w:top w:w="85" w:type="dxa"/>
            </w:tcMar>
            <w:vAlign w:val="center"/>
          </w:tcPr>
          <w:p w14:paraId="192783FE" w14:textId="77777777" w:rsidR="00FE6B4B" w:rsidRPr="00191B6F" w:rsidRDefault="00FE6B4B" w:rsidP="00D16669">
            <w:pPr>
              <w:contextualSpacing/>
              <w:rPr>
                <w:rFonts w:ascii="Arial" w:hAnsi="Arial" w:cs="Arial"/>
                <w:sz w:val="20"/>
                <w:szCs w:val="20"/>
              </w:rPr>
            </w:pPr>
            <w:r>
              <w:rPr>
                <w:rFonts w:ascii="Arial" w:hAnsi="Arial" w:cs="Arial"/>
                <w:sz w:val="20"/>
                <w:szCs w:val="20"/>
              </w:rPr>
              <w:t>lásd P</w:t>
            </w:r>
            <w:r w:rsidR="00857983">
              <w:rPr>
                <w:rFonts w:ascii="Arial" w:hAnsi="Arial" w:cs="Arial"/>
                <w:sz w:val="20"/>
                <w:szCs w:val="20"/>
              </w:rPr>
              <w:t>_</w:t>
            </w:r>
            <w:r>
              <w:rPr>
                <w:rFonts w:ascii="Arial" w:hAnsi="Arial" w:cs="Arial"/>
                <w:sz w:val="20"/>
                <w:szCs w:val="20"/>
              </w:rPr>
              <w:t>01.02. tábla 020. sor</w:t>
            </w:r>
          </w:p>
        </w:tc>
      </w:tr>
      <w:tr w:rsidR="00FE6B4B" w:rsidRPr="00191B6F" w14:paraId="1AAACA05" w14:textId="77777777" w:rsidTr="00960BA9">
        <w:tc>
          <w:tcPr>
            <w:tcW w:w="959" w:type="dxa"/>
            <w:shd w:val="clear" w:color="auto" w:fill="auto"/>
            <w:tcMar>
              <w:top w:w="85" w:type="dxa"/>
            </w:tcMar>
            <w:vAlign w:val="center"/>
          </w:tcPr>
          <w:p w14:paraId="2F18401D" w14:textId="77777777" w:rsidR="00FE6B4B" w:rsidRPr="00191B6F" w:rsidRDefault="00FE6B4B" w:rsidP="00D16669">
            <w:pPr>
              <w:contextualSpacing/>
              <w:rPr>
                <w:rFonts w:ascii="Arial" w:hAnsi="Arial" w:cs="Arial"/>
                <w:sz w:val="20"/>
                <w:szCs w:val="20"/>
              </w:rPr>
            </w:pPr>
            <w:r>
              <w:rPr>
                <w:rFonts w:ascii="Arial" w:hAnsi="Arial" w:cs="Arial"/>
                <w:sz w:val="20"/>
                <w:szCs w:val="20"/>
              </w:rPr>
              <w:t>020</w:t>
            </w:r>
          </w:p>
        </w:tc>
        <w:tc>
          <w:tcPr>
            <w:tcW w:w="1276" w:type="dxa"/>
            <w:vAlign w:val="center"/>
          </w:tcPr>
          <w:p w14:paraId="506055C0" w14:textId="77777777" w:rsidR="00FE6B4B" w:rsidRDefault="00FE6B4B" w:rsidP="00D16669">
            <w:pPr>
              <w:contextualSpacing/>
              <w:rPr>
                <w:rFonts w:ascii="Arial" w:hAnsi="Arial" w:cs="Arial"/>
                <w:sz w:val="20"/>
                <w:szCs w:val="20"/>
              </w:rPr>
            </w:pPr>
            <w:r w:rsidRPr="00CC769B">
              <w:rPr>
                <w:rFonts w:ascii="Arial" w:hAnsi="Arial" w:cs="Arial"/>
                <w:sz w:val="20"/>
                <w:szCs w:val="20"/>
              </w:rPr>
              <w:t>1.1.1.</w:t>
            </w:r>
          </w:p>
        </w:tc>
        <w:tc>
          <w:tcPr>
            <w:tcW w:w="2976" w:type="dxa"/>
            <w:shd w:val="clear" w:color="auto" w:fill="auto"/>
            <w:tcMar>
              <w:top w:w="85" w:type="dxa"/>
            </w:tcMar>
            <w:vAlign w:val="center"/>
          </w:tcPr>
          <w:p w14:paraId="1AC68FF4" w14:textId="4E32503A" w:rsidR="00FE6B4B" w:rsidRPr="00191B6F" w:rsidRDefault="00FE6B4B" w:rsidP="00D16669">
            <w:pPr>
              <w:contextualSpacing/>
              <w:rPr>
                <w:rFonts w:ascii="Arial" w:hAnsi="Arial" w:cs="Arial"/>
                <w:sz w:val="20"/>
                <w:szCs w:val="20"/>
              </w:rPr>
            </w:pPr>
            <w:r>
              <w:rPr>
                <w:rFonts w:ascii="Arial" w:hAnsi="Arial" w:cs="Arial"/>
                <w:sz w:val="20"/>
                <w:szCs w:val="20"/>
              </w:rPr>
              <w:t>Hazai tevékenység</w:t>
            </w:r>
            <w:r w:rsidR="007F41D7">
              <w:rPr>
                <w:rFonts w:ascii="Arial" w:hAnsi="Arial" w:cs="Arial"/>
                <w:sz w:val="20"/>
                <w:szCs w:val="20"/>
              </w:rPr>
              <w:t>ek</w:t>
            </w:r>
          </w:p>
        </w:tc>
        <w:tc>
          <w:tcPr>
            <w:tcW w:w="4253" w:type="dxa"/>
            <w:shd w:val="clear" w:color="auto" w:fill="auto"/>
            <w:tcMar>
              <w:top w:w="85" w:type="dxa"/>
            </w:tcMar>
            <w:vAlign w:val="center"/>
          </w:tcPr>
          <w:p w14:paraId="4E8D3804" w14:textId="77777777" w:rsidR="00FE6B4B" w:rsidRPr="00191B6F" w:rsidRDefault="00FE6B4B" w:rsidP="00D16669">
            <w:pPr>
              <w:contextualSpacing/>
              <w:rPr>
                <w:rFonts w:ascii="Arial" w:hAnsi="Arial" w:cs="Arial"/>
                <w:sz w:val="20"/>
                <w:szCs w:val="20"/>
              </w:rPr>
            </w:pPr>
            <w:r>
              <w:rPr>
                <w:rFonts w:ascii="Arial" w:hAnsi="Arial" w:cs="Arial"/>
                <w:sz w:val="20"/>
                <w:szCs w:val="20"/>
              </w:rPr>
              <w:t>lásd P</w:t>
            </w:r>
            <w:r w:rsidR="00857983">
              <w:rPr>
                <w:rFonts w:ascii="Arial" w:hAnsi="Arial" w:cs="Arial"/>
                <w:sz w:val="20"/>
                <w:szCs w:val="20"/>
              </w:rPr>
              <w:t>_</w:t>
            </w:r>
            <w:r>
              <w:rPr>
                <w:rFonts w:ascii="Arial" w:hAnsi="Arial" w:cs="Arial"/>
                <w:sz w:val="20"/>
                <w:szCs w:val="20"/>
              </w:rPr>
              <w:t>01.02. tábla 030. sor</w:t>
            </w:r>
          </w:p>
        </w:tc>
      </w:tr>
      <w:tr w:rsidR="00623296" w:rsidRPr="00191B6F" w14:paraId="63D190F7" w14:textId="77777777" w:rsidTr="00960BA9">
        <w:tc>
          <w:tcPr>
            <w:tcW w:w="959" w:type="dxa"/>
            <w:shd w:val="clear" w:color="auto" w:fill="auto"/>
            <w:tcMar>
              <w:top w:w="85" w:type="dxa"/>
            </w:tcMar>
            <w:vAlign w:val="center"/>
          </w:tcPr>
          <w:p w14:paraId="385F45C3" w14:textId="2FFE4347" w:rsidR="00623296" w:rsidRPr="00191B6F" w:rsidRDefault="00623296" w:rsidP="00623296">
            <w:pPr>
              <w:contextualSpacing/>
              <w:rPr>
                <w:rFonts w:ascii="Arial" w:hAnsi="Arial" w:cs="Arial"/>
                <w:sz w:val="20"/>
                <w:szCs w:val="20"/>
              </w:rPr>
            </w:pPr>
            <w:r>
              <w:rPr>
                <w:rFonts w:ascii="Arial" w:hAnsi="Arial" w:cs="Arial"/>
                <w:sz w:val="20"/>
                <w:szCs w:val="20"/>
              </w:rPr>
              <w:t>031</w:t>
            </w:r>
          </w:p>
        </w:tc>
        <w:tc>
          <w:tcPr>
            <w:tcW w:w="1276" w:type="dxa"/>
            <w:vAlign w:val="center"/>
          </w:tcPr>
          <w:p w14:paraId="3A040D20" w14:textId="303433E6" w:rsidR="00623296" w:rsidRPr="00CC769B" w:rsidRDefault="00623296" w:rsidP="00623296">
            <w:pPr>
              <w:contextualSpacing/>
              <w:rPr>
                <w:rFonts w:ascii="Arial" w:hAnsi="Arial" w:cs="Arial"/>
                <w:sz w:val="20"/>
                <w:szCs w:val="20"/>
              </w:rPr>
            </w:pPr>
            <w:r>
              <w:rPr>
                <w:rFonts w:ascii="Arial" w:hAnsi="Arial" w:cs="Arial"/>
                <w:sz w:val="20"/>
                <w:szCs w:val="20"/>
              </w:rPr>
              <w:t>1.1.2.</w:t>
            </w:r>
          </w:p>
        </w:tc>
        <w:tc>
          <w:tcPr>
            <w:tcW w:w="2976" w:type="dxa"/>
            <w:shd w:val="clear" w:color="auto" w:fill="auto"/>
            <w:tcMar>
              <w:top w:w="85" w:type="dxa"/>
            </w:tcMar>
            <w:vAlign w:val="center"/>
          </w:tcPr>
          <w:p w14:paraId="487862CF" w14:textId="6C489ABD" w:rsidR="00623296" w:rsidRDefault="00623296" w:rsidP="00623296">
            <w:pPr>
              <w:contextualSpacing/>
              <w:rPr>
                <w:rFonts w:ascii="Arial" w:hAnsi="Arial" w:cs="Arial"/>
                <w:sz w:val="20"/>
                <w:szCs w:val="20"/>
              </w:rPr>
            </w:pPr>
            <w:r w:rsidRPr="007F41D7">
              <w:rPr>
                <w:rFonts w:ascii="Arial" w:hAnsi="Arial" w:cs="Arial"/>
                <w:sz w:val="20"/>
                <w:szCs w:val="20"/>
              </w:rPr>
              <w:t>Más EGT</w:t>
            </w:r>
            <w:r w:rsidR="00930335">
              <w:rPr>
                <w:rFonts w:ascii="Arial" w:hAnsi="Arial" w:cs="Arial"/>
                <w:sz w:val="20"/>
                <w:szCs w:val="20"/>
              </w:rPr>
              <w:t>-</w:t>
            </w:r>
            <w:r w:rsidR="000C3840">
              <w:rPr>
                <w:rFonts w:ascii="Arial" w:hAnsi="Arial" w:cs="Arial"/>
                <w:sz w:val="20"/>
                <w:szCs w:val="20"/>
              </w:rPr>
              <w:t>államo</w:t>
            </w:r>
            <w:r w:rsidRPr="007F41D7">
              <w:rPr>
                <w:rFonts w:ascii="Arial" w:hAnsi="Arial" w:cs="Arial"/>
                <w:sz w:val="20"/>
                <w:szCs w:val="20"/>
              </w:rPr>
              <w:t>kban végzett tevékenységek</w:t>
            </w:r>
          </w:p>
        </w:tc>
        <w:tc>
          <w:tcPr>
            <w:tcW w:w="4253" w:type="dxa"/>
            <w:shd w:val="clear" w:color="auto" w:fill="auto"/>
            <w:tcMar>
              <w:top w:w="85" w:type="dxa"/>
            </w:tcMar>
            <w:vAlign w:val="center"/>
          </w:tcPr>
          <w:p w14:paraId="4D738567" w14:textId="78F7FBC1" w:rsidR="00623296" w:rsidRDefault="00623296" w:rsidP="00623296">
            <w:pPr>
              <w:contextualSpacing/>
              <w:rPr>
                <w:rFonts w:ascii="Arial" w:hAnsi="Arial" w:cs="Arial"/>
                <w:sz w:val="20"/>
                <w:szCs w:val="20"/>
              </w:rPr>
            </w:pPr>
            <w:r>
              <w:rPr>
                <w:rFonts w:ascii="Arial" w:hAnsi="Arial" w:cs="Arial"/>
                <w:sz w:val="20"/>
                <w:szCs w:val="20"/>
              </w:rPr>
              <w:t>lásd P_01.02. tábla 051. sor</w:t>
            </w:r>
          </w:p>
        </w:tc>
      </w:tr>
      <w:tr w:rsidR="00623296" w:rsidRPr="00191B6F" w14:paraId="2B4D1D78" w14:textId="77777777" w:rsidTr="00960BA9">
        <w:tc>
          <w:tcPr>
            <w:tcW w:w="959" w:type="dxa"/>
            <w:shd w:val="clear" w:color="auto" w:fill="auto"/>
            <w:tcMar>
              <w:top w:w="85" w:type="dxa"/>
            </w:tcMar>
            <w:vAlign w:val="center"/>
          </w:tcPr>
          <w:p w14:paraId="79B337AE" w14:textId="57931445" w:rsidR="00623296" w:rsidRPr="00191B6F" w:rsidRDefault="00623296" w:rsidP="00623296">
            <w:pPr>
              <w:contextualSpacing/>
              <w:rPr>
                <w:rFonts w:ascii="Arial" w:hAnsi="Arial" w:cs="Arial"/>
                <w:sz w:val="20"/>
                <w:szCs w:val="20"/>
              </w:rPr>
            </w:pPr>
            <w:r>
              <w:rPr>
                <w:rFonts w:ascii="Arial" w:hAnsi="Arial" w:cs="Arial"/>
                <w:sz w:val="20"/>
                <w:szCs w:val="20"/>
              </w:rPr>
              <w:t>032</w:t>
            </w:r>
          </w:p>
        </w:tc>
        <w:tc>
          <w:tcPr>
            <w:tcW w:w="1276" w:type="dxa"/>
            <w:vAlign w:val="center"/>
          </w:tcPr>
          <w:p w14:paraId="6B6C1A40" w14:textId="674FE31F" w:rsidR="00623296" w:rsidRPr="00CC769B" w:rsidRDefault="00623296" w:rsidP="00623296">
            <w:pPr>
              <w:contextualSpacing/>
              <w:rPr>
                <w:rFonts w:ascii="Arial" w:hAnsi="Arial" w:cs="Arial"/>
                <w:sz w:val="20"/>
                <w:szCs w:val="20"/>
              </w:rPr>
            </w:pPr>
            <w:r>
              <w:rPr>
                <w:rFonts w:ascii="Arial" w:hAnsi="Arial" w:cs="Arial"/>
                <w:sz w:val="20"/>
                <w:szCs w:val="20"/>
              </w:rPr>
              <w:t>1.1.3.</w:t>
            </w:r>
          </w:p>
        </w:tc>
        <w:tc>
          <w:tcPr>
            <w:tcW w:w="2976" w:type="dxa"/>
            <w:shd w:val="clear" w:color="auto" w:fill="auto"/>
            <w:tcMar>
              <w:top w:w="85" w:type="dxa"/>
            </w:tcMar>
            <w:vAlign w:val="center"/>
          </w:tcPr>
          <w:p w14:paraId="2D37F5D3" w14:textId="79AF997B" w:rsidR="00623296" w:rsidRDefault="004E2B22" w:rsidP="00623296">
            <w:pPr>
              <w:contextualSpacing/>
              <w:rPr>
                <w:rFonts w:ascii="Arial" w:hAnsi="Arial" w:cs="Arial"/>
                <w:sz w:val="20"/>
                <w:szCs w:val="20"/>
              </w:rPr>
            </w:pPr>
            <w:r>
              <w:rPr>
                <w:rFonts w:ascii="Arial" w:hAnsi="Arial" w:cs="Arial"/>
                <w:sz w:val="20"/>
                <w:szCs w:val="20"/>
              </w:rPr>
              <w:t>Harmadik ország</w:t>
            </w:r>
            <w:r w:rsidR="00623296" w:rsidRPr="007F41D7">
              <w:rPr>
                <w:rFonts w:ascii="Arial" w:hAnsi="Arial" w:cs="Arial"/>
                <w:sz w:val="20"/>
                <w:szCs w:val="20"/>
              </w:rPr>
              <w:t>ban végzett tevékenységek</w:t>
            </w:r>
          </w:p>
        </w:tc>
        <w:tc>
          <w:tcPr>
            <w:tcW w:w="4253" w:type="dxa"/>
            <w:shd w:val="clear" w:color="auto" w:fill="auto"/>
            <w:tcMar>
              <w:top w:w="85" w:type="dxa"/>
            </w:tcMar>
            <w:vAlign w:val="center"/>
          </w:tcPr>
          <w:p w14:paraId="56DE5AC5" w14:textId="2321B949" w:rsidR="00623296" w:rsidRDefault="00623296" w:rsidP="00623296">
            <w:pPr>
              <w:contextualSpacing/>
              <w:rPr>
                <w:rFonts w:ascii="Arial" w:hAnsi="Arial" w:cs="Arial"/>
                <w:sz w:val="20"/>
                <w:szCs w:val="20"/>
              </w:rPr>
            </w:pPr>
            <w:r>
              <w:rPr>
                <w:rFonts w:ascii="Arial" w:hAnsi="Arial" w:cs="Arial"/>
                <w:sz w:val="20"/>
                <w:szCs w:val="20"/>
              </w:rPr>
              <w:t>lásd P_01.02. tábla 052. sor</w:t>
            </w:r>
          </w:p>
        </w:tc>
      </w:tr>
      <w:tr w:rsidR="00623296" w:rsidRPr="00191B6F" w14:paraId="3C6B03CB" w14:textId="77777777" w:rsidTr="00960BA9">
        <w:tc>
          <w:tcPr>
            <w:tcW w:w="959" w:type="dxa"/>
            <w:shd w:val="clear" w:color="auto" w:fill="auto"/>
            <w:tcMar>
              <w:top w:w="85" w:type="dxa"/>
            </w:tcMar>
            <w:vAlign w:val="center"/>
          </w:tcPr>
          <w:p w14:paraId="488B2373" w14:textId="77777777" w:rsidR="00623296" w:rsidRPr="00191B6F" w:rsidRDefault="00623296" w:rsidP="00623296">
            <w:pPr>
              <w:contextualSpacing/>
              <w:rPr>
                <w:rFonts w:ascii="Arial" w:hAnsi="Arial" w:cs="Arial"/>
                <w:sz w:val="20"/>
                <w:szCs w:val="20"/>
              </w:rPr>
            </w:pPr>
            <w:r>
              <w:rPr>
                <w:rFonts w:ascii="Arial" w:hAnsi="Arial" w:cs="Arial"/>
                <w:sz w:val="20"/>
                <w:szCs w:val="20"/>
              </w:rPr>
              <w:t>050</w:t>
            </w:r>
          </w:p>
        </w:tc>
        <w:tc>
          <w:tcPr>
            <w:tcW w:w="1276" w:type="dxa"/>
            <w:vAlign w:val="center"/>
          </w:tcPr>
          <w:p w14:paraId="1CDBCA12" w14:textId="0EDA6A49" w:rsidR="00623296" w:rsidRDefault="00623296" w:rsidP="00623296">
            <w:pPr>
              <w:contextualSpacing/>
              <w:rPr>
                <w:rFonts w:ascii="Arial" w:hAnsi="Arial" w:cs="Arial"/>
                <w:sz w:val="20"/>
                <w:szCs w:val="20"/>
              </w:rPr>
            </w:pPr>
            <w:r w:rsidRPr="00CC769B">
              <w:rPr>
                <w:rFonts w:ascii="Arial" w:hAnsi="Arial" w:cs="Arial"/>
                <w:sz w:val="20"/>
                <w:szCs w:val="20"/>
              </w:rPr>
              <w:t>1.2.</w:t>
            </w:r>
          </w:p>
        </w:tc>
        <w:tc>
          <w:tcPr>
            <w:tcW w:w="2976" w:type="dxa"/>
            <w:shd w:val="clear" w:color="auto" w:fill="auto"/>
            <w:tcMar>
              <w:top w:w="85" w:type="dxa"/>
            </w:tcMar>
            <w:vAlign w:val="center"/>
          </w:tcPr>
          <w:p w14:paraId="36E3DF78" w14:textId="136B7C76" w:rsidR="00623296" w:rsidRPr="00191B6F" w:rsidRDefault="00623296" w:rsidP="00623296">
            <w:pPr>
              <w:contextualSpacing/>
              <w:rPr>
                <w:rFonts w:ascii="Arial" w:hAnsi="Arial" w:cs="Arial"/>
                <w:sz w:val="20"/>
                <w:szCs w:val="20"/>
              </w:rPr>
            </w:pPr>
            <w:r>
              <w:rPr>
                <w:rFonts w:ascii="Arial" w:hAnsi="Arial" w:cs="Arial"/>
                <w:sz w:val="20"/>
                <w:szCs w:val="20"/>
              </w:rPr>
              <w:t xml:space="preserve">Nem pénzügyi vállalatoktól </w:t>
            </w:r>
            <w:r w:rsidRPr="007F41D7">
              <w:rPr>
                <w:rFonts w:ascii="Arial" w:hAnsi="Arial" w:cs="Arial"/>
                <w:sz w:val="20"/>
                <w:szCs w:val="20"/>
              </w:rPr>
              <w:t>kapott betétek (visszavásárlási megállapodások kivételével</w:t>
            </w:r>
          </w:p>
        </w:tc>
        <w:tc>
          <w:tcPr>
            <w:tcW w:w="4253" w:type="dxa"/>
            <w:shd w:val="clear" w:color="auto" w:fill="auto"/>
            <w:tcMar>
              <w:top w:w="85" w:type="dxa"/>
            </w:tcMar>
            <w:vAlign w:val="center"/>
          </w:tcPr>
          <w:p w14:paraId="5F00CAA5" w14:textId="77777777" w:rsidR="00623296" w:rsidRPr="00191B6F" w:rsidRDefault="00623296" w:rsidP="00623296">
            <w:pPr>
              <w:contextualSpacing/>
              <w:rPr>
                <w:rFonts w:ascii="Arial" w:hAnsi="Arial" w:cs="Arial"/>
                <w:sz w:val="20"/>
                <w:szCs w:val="20"/>
              </w:rPr>
            </w:pPr>
            <w:r>
              <w:rPr>
                <w:rFonts w:ascii="Arial" w:hAnsi="Arial" w:cs="Arial"/>
                <w:sz w:val="20"/>
                <w:szCs w:val="20"/>
              </w:rPr>
              <w:t>lásd P_01.02. tábla 060. sor</w:t>
            </w:r>
          </w:p>
        </w:tc>
      </w:tr>
      <w:tr w:rsidR="00623296" w:rsidRPr="00191B6F" w14:paraId="11833ED1" w14:textId="77777777" w:rsidTr="00960BA9">
        <w:tc>
          <w:tcPr>
            <w:tcW w:w="959" w:type="dxa"/>
            <w:shd w:val="clear" w:color="auto" w:fill="auto"/>
            <w:tcMar>
              <w:top w:w="85" w:type="dxa"/>
            </w:tcMar>
            <w:vAlign w:val="center"/>
          </w:tcPr>
          <w:p w14:paraId="707D5324" w14:textId="77777777" w:rsidR="00623296" w:rsidRPr="00191B6F" w:rsidRDefault="00623296" w:rsidP="00623296">
            <w:pPr>
              <w:contextualSpacing/>
              <w:rPr>
                <w:rFonts w:ascii="Arial" w:hAnsi="Arial" w:cs="Arial"/>
                <w:sz w:val="20"/>
                <w:szCs w:val="20"/>
              </w:rPr>
            </w:pPr>
            <w:r>
              <w:rPr>
                <w:rFonts w:ascii="Arial" w:hAnsi="Arial" w:cs="Arial"/>
                <w:sz w:val="20"/>
                <w:szCs w:val="20"/>
              </w:rPr>
              <w:t>060</w:t>
            </w:r>
          </w:p>
        </w:tc>
        <w:tc>
          <w:tcPr>
            <w:tcW w:w="1276" w:type="dxa"/>
            <w:vAlign w:val="center"/>
          </w:tcPr>
          <w:p w14:paraId="12EB8876" w14:textId="1D92704B" w:rsidR="00623296" w:rsidRDefault="00623296" w:rsidP="00623296">
            <w:pPr>
              <w:contextualSpacing/>
              <w:rPr>
                <w:rFonts w:ascii="Arial" w:hAnsi="Arial" w:cs="Arial"/>
                <w:sz w:val="20"/>
                <w:szCs w:val="20"/>
              </w:rPr>
            </w:pPr>
            <w:r w:rsidRPr="00CC769B">
              <w:rPr>
                <w:rFonts w:ascii="Arial" w:hAnsi="Arial" w:cs="Arial"/>
                <w:sz w:val="20"/>
                <w:szCs w:val="20"/>
              </w:rPr>
              <w:t>1.2.1.</w:t>
            </w:r>
          </w:p>
        </w:tc>
        <w:tc>
          <w:tcPr>
            <w:tcW w:w="2976" w:type="dxa"/>
            <w:shd w:val="clear" w:color="auto" w:fill="auto"/>
            <w:tcMar>
              <w:top w:w="85" w:type="dxa"/>
            </w:tcMar>
            <w:vAlign w:val="center"/>
          </w:tcPr>
          <w:p w14:paraId="70DEDE6C" w14:textId="6812E91F" w:rsidR="00623296" w:rsidRPr="00191B6F" w:rsidRDefault="00623296" w:rsidP="00623296">
            <w:pPr>
              <w:contextualSpacing/>
              <w:rPr>
                <w:rFonts w:ascii="Arial" w:hAnsi="Arial" w:cs="Arial"/>
                <w:sz w:val="20"/>
                <w:szCs w:val="20"/>
              </w:rPr>
            </w:pPr>
            <w:r>
              <w:rPr>
                <w:rFonts w:ascii="Arial" w:hAnsi="Arial" w:cs="Arial"/>
                <w:sz w:val="20"/>
                <w:szCs w:val="20"/>
              </w:rPr>
              <w:t>Hazai tevékenységek</w:t>
            </w:r>
          </w:p>
        </w:tc>
        <w:tc>
          <w:tcPr>
            <w:tcW w:w="4253" w:type="dxa"/>
            <w:shd w:val="clear" w:color="auto" w:fill="auto"/>
            <w:tcMar>
              <w:top w:w="85" w:type="dxa"/>
            </w:tcMar>
            <w:vAlign w:val="center"/>
          </w:tcPr>
          <w:p w14:paraId="3107C0FC" w14:textId="77777777" w:rsidR="00623296" w:rsidRPr="00191B6F" w:rsidRDefault="00623296" w:rsidP="00623296">
            <w:pPr>
              <w:contextualSpacing/>
              <w:rPr>
                <w:rFonts w:ascii="Arial" w:hAnsi="Arial" w:cs="Arial"/>
                <w:sz w:val="20"/>
                <w:szCs w:val="20"/>
              </w:rPr>
            </w:pPr>
            <w:r>
              <w:rPr>
                <w:rFonts w:ascii="Arial" w:hAnsi="Arial" w:cs="Arial"/>
                <w:sz w:val="20"/>
                <w:szCs w:val="20"/>
              </w:rPr>
              <w:t>lásd P_01.02. tábla 070. sor</w:t>
            </w:r>
          </w:p>
        </w:tc>
      </w:tr>
      <w:tr w:rsidR="00623296" w:rsidRPr="00191B6F" w14:paraId="40E128C6" w14:textId="77777777" w:rsidTr="00960BA9">
        <w:tc>
          <w:tcPr>
            <w:tcW w:w="959" w:type="dxa"/>
            <w:shd w:val="clear" w:color="auto" w:fill="auto"/>
            <w:tcMar>
              <w:top w:w="85" w:type="dxa"/>
            </w:tcMar>
            <w:vAlign w:val="center"/>
          </w:tcPr>
          <w:p w14:paraId="02A8A7C0" w14:textId="76072371" w:rsidR="00623296" w:rsidRDefault="00623296" w:rsidP="00623296">
            <w:pPr>
              <w:contextualSpacing/>
              <w:rPr>
                <w:rFonts w:ascii="Arial" w:hAnsi="Arial" w:cs="Arial"/>
                <w:sz w:val="20"/>
                <w:szCs w:val="20"/>
              </w:rPr>
            </w:pPr>
            <w:r>
              <w:rPr>
                <w:rFonts w:ascii="Arial" w:hAnsi="Arial" w:cs="Arial"/>
                <w:sz w:val="20"/>
                <w:szCs w:val="20"/>
              </w:rPr>
              <w:t>071</w:t>
            </w:r>
          </w:p>
        </w:tc>
        <w:tc>
          <w:tcPr>
            <w:tcW w:w="1276" w:type="dxa"/>
            <w:vAlign w:val="center"/>
          </w:tcPr>
          <w:p w14:paraId="1B381265" w14:textId="16A5DB7E" w:rsidR="00623296" w:rsidRPr="00CC769B" w:rsidRDefault="00623296" w:rsidP="00623296">
            <w:pPr>
              <w:contextualSpacing/>
              <w:rPr>
                <w:rFonts w:ascii="Arial" w:hAnsi="Arial" w:cs="Arial"/>
                <w:sz w:val="20"/>
                <w:szCs w:val="20"/>
              </w:rPr>
            </w:pPr>
            <w:r>
              <w:rPr>
                <w:rFonts w:ascii="Arial" w:hAnsi="Arial" w:cs="Arial"/>
                <w:sz w:val="20"/>
                <w:szCs w:val="20"/>
              </w:rPr>
              <w:t>1.2.2.</w:t>
            </w:r>
          </w:p>
        </w:tc>
        <w:tc>
          <w:tcPr>
            <w:tcW w:w="2976" w:type="dxa"/>
            <w:shd w:val="clear" w:color="auto" w:fill="auto"/>
            <w:tcMar>
              <w:top w:w="85" w:type="dxa"/>
            </w:tcMar>
            <w:vAlign w:val="center"/>
          </w:tcPr>
          <w:p w14:paraId="51267586" w14:textId="1D38F6C5" w:rsidR="00623296" w:rsidRDefault="00623296" w:rsidP="00623296">
            <w:pPr>
              <w:contextualSpacing/>
              <w:rPr>
                <w:rFonts w:ascii="Arial" w:hAnsi="Arial" w:cs="Arial"/>
                <w:sz w:val="20"/>
                <w:szCs w:val="20"/>
              </w:rPr>
            </w:pPr>
            <w:r w:rsidRPr="007F41D7">
              <w:rPr>
                <w:rFonts w:ascii="Arial" w:hAnsi="Arial" w:cs="Arial"/>
                <w:sz w:val="20"/>
                <w:szCs w:val="20"/>
              </w:rPr>
              <w:t>Más EGT</w:t>
            </w:r>
            <w:r w:rsidR="00930335">
              <w:rPr>
                <w:rFonts w:ascii="Arial" w:hAnsi="Arial" w:cs="Arial"/>
                <w:sz w:val="20"/>
                <w:szCs w:val="20"/>
              </w:rPr>
              <w:t>-</w:t>
            </w:r>
            <w:r w:rsidR="000C3840">
              <w:rPr>
                <w:rFonts w:ascii="Arial" w:hAnsi="Arial" w:cs="Arial"/>
                <w:sz w:val="20"/>
                <w:szCs w:val="20"/>
              </w:rPr>
              <w:t>állam</w:t>
            </w:r>
            <w:r w:rsidRPr="007F41D7">
              <w:rPr>
                <w:rFonts w:ascii="Arial" w:hAnsi="Arial" w:cs="Arial"/>
                <w:sz w:val="20"/>
                <w:szCs w:val="20"/>
              </w:rPr>
              <w:t>okban végzett tevékenységek</w:t>
            </w:r>
          </w:p>
        </w:tc>
        <w:tc>
          <w:tcPr>
            <w:tcW w:w="4253" w:type="dxa"/>
            <w:shd w:val="clear" w:color="auto" w:fill="auto"/>
            <w:tcMar>
              <w:top w:w="85" w:type="dxa"/>
            </w:tcMar>
            <w:vAlign w:val="center"/>
          </w:tcPr>
          <w:p w14:paraId="4B777570" w14:textId="64373C33" w:rsidR="00623296" w:rsidRDefault="00623296" w:rsidP="00623296">
            <w:pPr>
              <w:contextualSpacing/>
              <w:rPr>
                <w:rFonts w:ascii="Arial" w:hAnsi="Arial" w:cs="Arial"/>
                <w:sz w:val="20"/>
                <w:szCs w:val="20"/>
              </w:rPr>
            </w:pPr>
            <w:r>
              <w:rPr>
                <w:rFonts w:ascii="Arial" w:hAnsi="Arial" w:cs="Arial"/>
                <w:sz w:val="20"/>
                <w:szCs w:val="20"/>
              </w:rPr>
              <w:t>lásd P_01.02. tábla 111. sor</w:t>
            </w:r>
          </w:p>
        </w:tc>
      </w:tr>
      <w:tr w:rsidR="00623296" w:rsidRPr="00191B6F" w14:paraId="7C99486F" w14:textId="77777777" w:rsidTr="00960BA9">
        <w:tc>
          <w:tcPr>
            <w:tcW w:w="959" w:type="dxa"/>
            <w:shd w:val="clear" w:color="auto" w:fill="auto"/>
            <w:tcMar>
              <w:top w:w="85" w:type="dxa"/>
            </w:tcMar>
            <w:vAlign w:val="center"/>
          </w:tcPr>
          <w:p w14:paraId="18E5FAAA" w14:textId="6359509A" w:rsidR="00623296" w:rsidRDefault="00623296" w:rsidP="00623296">
            <w:pPr>
              <w:contextualSpacing/>
              <w:rPr>
                <w:rFonts w:ascii="Arial" w:hAnsi="Arial" w:cs="Arial"/>
                <w:sz w:val="20"/>
                <w:szCs w:val="20"/>
              </w:rPr>
            </w:pPr>
            <w:r>
              <w:rPr>
                <w:rFonts w:ascii="Arial" w:hAnsi="Arial" w:cs="Arial"/>
                <w:sz w:val="20"/>
                <w:szCs w:val="20"/>
              </w:rPr>
              <w:t>072</w:t>
            </w:r>
          </w:p>
        </w:tc>
        <w:tc>
          <w:tcPr>
            <w:tcW w:w="1276" w:type="dxa"/>
            <w:vAlign w:val="center"/>
          </w:tcPr>
          <w:p w14:paraId="49CE1137" w14:textId="45C35A60" w:rsidR="00623296" w:rsidRPr="00CC769B" w:rsidRDefault="00623296" w:rsidP="00623296">
            <w:pPr>
              <w:contextualSpacing/>
              <w:rPr>
                <w:rFonts w:ascii="Arial" w:hAnsi="Arial" w:cs="Arial"/>
                <w:sz w:val="20"/>
                <w:szCs w:val="20"/>
              </w:rPr>
            </w:pPr>
            <w:r>
              <w:rPr>
                <w:rFonts w:ascii="Arial" w:hAnsi="Arial" w:cs="Arial"/>
                <w:sz w:val="20"/>
                <w:szCs w:val="20"/>
              </w:rPr>
              <w:t>1.2.3.</w:t>
            </w:r>
          </w:p>
        </w:tc>
        <w:tc>
          <w:tcPr>
            <w:tcW w:w="2976" w:type="dxa"/>
            <w:shd w:val="clear" w:color="auto" w:fill="auto"/>
            <w:tcMar>
              <w:top w:w="85" w:type="dxa"/>
            </w:tcMar>
            <w:vAlign w:val="center"/>
          </w:tcPr>
          <w:p w14:paraId="0177536F" w14:textId="71752B6A" w:rsidR="00623296" w:rsidRDefault="004E2B22" w:rsidP="00623296">
            <w:pPr>
              <w:contextualSpacing/>
              <w:rPr>
                <w:rFonts w:ascii="Arial" w:hAnsi="Arial" w:cs="Arial"/>
                <w:sz w:val="20"/>
                <w:szCs w:val="20"/>
              </w:rPr>
            </w:pPr>
            <w:r>
              <w:rPr>
                <w:rFonts w:ascii="Arial" w:hAnsi="Arial" w:cs="Arial"/>
                <w:sz w:val="20"/>
                <w:szCs w:val="20"/>
              </w:rPr>
              <w:t>Harmadik ország</w:t>
            </w:r>
            <w:r w:rsidR="00623296" w:rsidRPr="007F41D7">
              <w:rPr>
                <w:rFonts w:ascii="Arial" w:hAnsi="Arial" w:cs="Arial"/>
                <w:sz w:val="20"/>
                <w:szCs w:val="20"/>
              </w:rPr>
              <w:t>ban végzett tevékenységek</w:t>
            </w:r>
          </w:p>
        </w:tc>
        <w:tc>
          <w:tcPr>
            <w:tcW w:w="4253" w:type="dxa"/>
            <w:shd w:val="clear" w:color="auto" w:fill="auto"/>
            <w:tcMar>
              <w:top w:w="85" w:type="dxa"/>
            </w:tcMar>
            <w:vAlign w:val="center"/>
          </w:tcPr>
          <w:p w14:paraId="59C884BE" w14:textId="631907FB" w:rsidR="00623296" w:rsidRDefault="00D00B9E" w:rsidP="00623296">
            <w:pPr>
              <w:contextualSpacing/>
              <w:rPr>
                <w:rFonts w:ascii="Arial" w:hAnsi="Arial" w:cs="Arial"/>
                <w:sz w:val="20"/>
                <w:szCs w:val="20"/>
              </w:rPr>
            </w:pPr>
            <w:r>
              <w:rPr>
                <w:rFonts w:ascii="Arial" w:hAnsi="Arial" w:cs="Arial"/>
                <w:sz w:val="20"/>
                <w:szCs w:val="20"/>
              </w:rPr>
              <w:t>lásd P_01.02. tábla 115. sor</w:t>
            </w:r>
          </w:p>
        </w:tc>
      </w:tr>
      <w:tr w:rsidR="00623296" w:rsidRPr="00191B6F" w14:paraId="531852A9" w14:textId="77777777" w:rsidTr="00960BA9">
        <w:tc>
          <w:tcPr>
            <w:tcW w:w="959" w:type="dxa"/>
            <w:shd w:val="clear" w:color="auto" w:fill="auto"/>
            <w:tcMar>
              <w:top w:w="85" w:type="dxa"/>
            </w:tcMar>
            <w:vAlign w:val="center"/>
          </w:tcPr>
          <w:p w14:paraId="61621062" w14:textId="2350187A" w:rsidR="00623296" w:rsidRDefault="00623296" w:rsidP="00623296">
            <w:pPr>
              <w:contextualSpacing/>
              <w:rPr>
                <w:rFonts w:ascii="Arial" w:hAnsi="Arial" w:cs="Arial"/>
                <w:sz w:val="20"/>
                <w:szCs w:val="20"/>
              </w:rPr>
            </w:pPr>
            <w:r>
              <w:rPr>
                <w:rFonts w:ascii="Arial" w:hAnsi="Arial" w:cs="Arial"/>
                <w:sz w:val="20"/>
                <w:szCs w:val="20"/>
              </w:rPr>
              <w:t>079</w:t>
            </w:r>
          </w:p>
        </w:tc>
        <w:tc>
          <w:tcPr>
            <w:tcW w:w="1276" w:type="dxa"/>
            <w:vAlign w:val="center"/>
          </w:tcPr>
          <w:p w14:paraId="0A1B7971" w14:textId="4B16AE16" w:rsidR="00623296" w:rsidRPr="00CC769B" w:rsidRDefault="00623296" w:rsidP="00623296">
            <w:pPr>
              <w:contextualSpacing/>
              <w:rPr>
                <w:rFonts w:ascii="Arial" w:hAnsi="Arial" w:cs="Arial"/>
                <w:sz w:val="20"/>
                <w:szCs w:val="20"/>
              </w:rPr>
            </w:pPr>
            <w:r>
              <w:rPr>
                <w:rFonts w:ascii="Arial" w:hAnsi="Arial" w:cs="Arial"/>
                <w:sz w:val="20"/>
                <w:szCs w:val="20"/>
              </w:rPr>
              <w:t>1.3.</w:t>
            </w:r>
          </w:p>
        </w:tc>
        <w:tc>
          <w:tcPr>
            <w:tcW w:w="2976" w:type="dxa"/>
            <w:shd w:val="clear" w:color="auto" w:fill="auto"/>
            <w:tcMar>
              <w:top w:w="85" w:type="dxa"/>
            </w:tcMar>
            <w:vAlign w:val="center"/>
          </w:tcPr>
          <w:p w14:paraId="5B0E89F7" w14:textId="5D1451CC" w:rsidR="00623296" w:rsidRDefault="00623296" w:rsidP="00623296">
            <w:pPr>
              <w:contextualSpacing/>
              <w:rPr>
                <w:rFonts w:ascii="Arial" w:hAnsi="Arial" w:cs="Arial"/>
                <w:sz w:val="20"/>
                <w:szCs w:val="20"/>
              </w:rPr>
            </w:pPr>
            <w:r w:rsidRPr="007F41D7">
              <w:rPr>
                <w:rFonts w:ascii="Arial" w:hAnsi="Arial" w:cs="Arial"/>
                <w:sz w:val="20"/>
                <w:szCs w:val="20"/>
              </w:rPr>
              <w:t>Hitelintézetektől kapott betétek (visszavásárlási megállapodások kivételével)</w:t>
            </w:r>
          </w:p>
        </w:tc>
        <w:tc>
          <w:tcPr>
            <w:tcW w:w="4253" w:type="dxa"/>
            <w:shd w:val="clear" w:color="auto" w:fill="auto"/>
            <w:tcMar>
              <w:top w:w="85" w:type="dxa"/>
            </w:tcMar>
            <w:vAlign w:val="center"/>
          </w:tcPr>
          <w:p w14:paraId="57CF9F1F" w14:textId="1EB21F4D" w:rsidR="00623296" w:rsidRDefault="007259F3" w:rsidP="00623296">
            <w:pPr>
              <w:contextualSpacing/>
              <w:rPr>
                <w:rFonts w:ascii="Arial" w:hAnsi="Arial" w:cs="Arial"/>
                <w:sz w:val="20"/>
                <w:szCs w:val="20"/>
              </w:rPr>
            </w:pPr>
            <w:r>
              <w:rPr>
                <w:rFonts w:ascii="Arial" w:hAnsi="Arial" w:cs="Arial"/>
                <w:sz w:val="20"/>
                <w:szCs w:val="20"/>
              </w:rPr>
              <w:t>lásd P_01.02. tábla 130. sor</w:t>
            </w:r>
          </w:p>
        </w:tc>
      </w:tr>
      <w:tr w:rsidR="00623296" w:rsidRPr="00191B6F" w14:paraId="135D74B1" w14:textId="77777777" w:rsidTr="00960BA9">
        <w:tc>
          <w:tcPr>
            <w:tcW w:w="959" w:type="dxa"/>
            <w:shd w:val="clear" w:color="auto" w:fill="auto"/>
            <w:tcMar>
              <w:top w:w="85" w:type="dxa"/>
            </w:tcMar>
            <w:vAlign w:val="center"/>
          </w:tcPr>
          <w:p w14:paraId="756C2AAD" w14:textId="059A7B48" w:rsidR="00623296" w:rsidRDefault="00623296" w:rsidP="00623296">
            <w:pPr>
              <w:contextualSpacing/>
              <w:rPr>
                <w:rFonts w:ascii="Arial" w:hAnsi="Arial" w:cs="Arial"/>
                <w:sz w:val="20"/>
                <w:szCs w:val="20"/>
              </w:rPr>
            </w:pPr>
            <w:r>
              <w:rPr>
                <w:rFonts w:ascii="Arial" w:hAnsi="Arial" w:cs="Arial"/>
                <w:sz w:val="20"/>
                <w:szCs w:val="20"/>
              </w:rPr>
              <w:t>081</w:t>
            </w:r>
          </w:p>
        </w:tc>
        <w:tc>
          <w:tcPr>
            <w:tcW w:w="1276" w:type="dxa"/>
            <w:vAlign w:val="center"/>
          </w:tcPr>
          <w:p w14:paraId="51AE2D8D" w14:textId="654951F1" w:rsidR="00623296" w:rsidRPr="00CC769B" w:rsidRDefault="00623296" w:rsidP="00623296">
            <w:pPr>
              <w:contextualSpacing/>
              <w:rPr>
                <w:rFonts w:ascii="Arial" w:hAnsi="Arial" w:cs="Arial"/>
                <w:sz w:val="20"/>
                <w:szCs w:val="20"/>
              </w:rPr>
            </w:pPr>
            <w:r>
              <w:rPr>
                <w:rFonts w:ascii="Arial" w:hAnsi="Arial" w:cs="Arial"/>
                <w:sz w:val="20"/>
                <w:szCs w:val="20"/>
              </w:rPr>
              <w:t>1.3.1.</w:t>
            </w:r>
          </w:p>
        </w:tc>
        <w:tc>
          <w:tcPr>
            <w:tcW w:w="2976" w:type="dxa"/>
            <w:shd w:val="clear" w:color="auto" w:fill="auto"/>
            <w:tcMar>
              <w:top w:w="85" w:type="dxa"/>
            </w:tcMar>
            <w:vAlign w:val="center"/>
          </w:tcPr>
          <w:p w14:paraId="22165A0F" w14:textId="07BE511C" w:rsidR="00623296" w:rsidRDefault="00623296" w:rsidP="00623296">
            <w:pPr>
              <w:contextualSpacing/>
              <w:rPr>
                <w:rFonts w:ascii="Arial" w:hAnsi="Arial" w:cs="Arial"/>
                <w:sz w:val="20"/>
                <w:szCs w:val="20"/>
              </w:rPr>
            </w:pPr>
            <w:r w:rsidRPr="007F41D7">
              <w:rPr>
                <w:rFonts w:ascii="Arial" w:hAnsi="Arial" w:cs="Arial"/>
                <w:sz w:val="20"/>
                <w:szCs w:val="20"/>
              </w:rPr>
              <w:t>Hazai tevékenységek</w:t>
            </w:r>
          </w:p>
        </w:tc>
        <w:tc>
          <w:tcPr>
            <w:tcW w:w="4253" w:type="dxa"/>
            <w:shd w:val="clear" w:color="auto" w:fill="auto"/>
            <w:tcMar>
              <w:top w:w="85" w:type="dxa"/>
            </w:tcMar>
            <w:vAlign w:val="center"/>
          </w:tcPr>
          <w:p w14:paraId="4E89B123" w14:textId="2954E066" w:rsidR="00623296" w:rsidRDefault="007259F3" w:rsidP="00623296">
            <w:pPr>
              <w:contextualSpacing/>
              <w:rPr>
                <w:rFonts w:ascii="Arial" w:hAnsi="Arial" w:cs="Arial"/>
                <w:sz w:val="20"/>
                <w:szCs w:val="20"/>
              </w:rPr>
            </w:pPr>
            <w:r>
              <w:rPr>
                <w:rFonts w:ascii="Arial" w:hAnsi="Arial" w:cs="Arial"/>
                <w:sz w:val="20"/>
                <w:szCs w:val="20"/>
              </w:rPr>
              <w:t>lásd P_01.02. tábla 131. sor</w:t>
            </w:r>
          </w:p>
        </w:tc>
      </w:tr>
      <w:tr w:rsidR="00623296" w:rsidRPr="00191B6F" w14:paraId="1A0E28E4" w14:textId="77777777" w:rsidTr="00960BA9">
        <w:tc>
          <w:tcPr>
            <w:tcW w:w="959" w:type="dxa"/>
            <w:shd w:val="clear" w:color="auto" w:fill="auto"/>
            <w:tcMar>
              <w:top w:w="85" w:type="dxa"/>
            </w:tcMar>
            <w:vAlign w:val="center"/>
          </w:tcPr>
          <w:p w14:paraId="03527023" w14:textId="5D1D8BE4" w:rsidR="00623296" w:rsidRDefault="00623296" w:rsidP="00623296">
            <w:pPr>
              <w:contextualSpacing/>
              <w:rPr>
                <w:rFonts w:ascii="Arial" w:hAnsi="Arial" w:cs="Arial"/>
                <w:sz w:val="20"/>
                <w:szCs w:val="20"/>
              </w:rPr>
            </w:pPr>
            <w:r>
              <w:rPr>
                <w:rFonts w:ascii="Arial" w:hAnsi="Arial" w:cs="Arial"/>
                <w:sz w:val="20"/>
                <w:szCs w:val="20"/>
              </w:rPr>
              <w:t>082</w:t>
            </w:r>
          </w:p>
        </w:tc>
        <w:tc>
          <w:tcPr>
            <w:tcW w:w="1276" w:type="dxa"/>
            <w:vAlign w:val="center"/>
          </w:tcPr>
          <w:p w14:paraId="0CA4AD49" w14:textId="5C56A3AA" w:rsidR="00623296" w:rsidRPr="00CC769B" w:rsidRDefault="00623296" w:rsidP="00623296">
            <w:pPr>
              <w:contextualSpacing/>
              <w:rPr>
                <w:rFonts w:ascii="Arial" w:hAnsi="Arial" w:cs="Arial"/>
                <w:sz w:val="20"/>
                <w:szCs w:val="20"/>
              </w:rPr>
            </w:pPr>
            <w:r>
              <w:rPr>
                <w:rFonts w:ascii="Arial" w:hAnsi="Arial" w:cs="Arial"/>
                <w:sz w:val="20"/>
                <w:szCs w:val="20"/>
              </w:rPr>
              <w:t>1.3.2.</w:t>
            </w:r>
          </w:p>
        </w:tc>
        <w:tc>
          <w:tcPr>
            <w:tcW w:w="2976" w:type="dxa"/>
            <w:shd w:val="clear" w:color="auto" w:fill="auto"/>
            <w:tcMar>
              <w:top w:w="85" w:type="dxa"/>
            </w:tcMar>
            <w:vAlign w:val="center"/>
          </w:tcPr>
          <w:p w14:paraId="24987056" w14:textId="02DF1089" w:rsidR="00623296" w:rsidRDefault="00623296" w:rsidP="00623296">
            <w:pPr>
              <w:contextualSpacing/>
              <w:rPr>
                <w:rFonts w:ascii="Arial" w:hAnsi="Arial" w:cs="Arial"/>
                <w:sz w:val="20"/>
                <w:szCs w:val="20"/>
              </w:rPr>
            </w:pPr>
            <w:r w:rsidRPr="007F41D7">
              <w:rPr>
                <w:rFonts w:ascii="Arial" w:hAnsi="Arial" w:cs="Arial"/>
                <w:sz w:val="20"/>
                <w:szCs w:val="20"/>
              </w:rPr>
              <w:t>Más EGT</w:t>
            </w:r>
            <w:r w:rsidR="00930335">
              <w:rPr>
                <w:rFonts w:ascii="Arial" w:hAnsi="Arial" w:cs="Arial"/>
                <w:sz w:val="20"/>
                <w:szCs w:val="20"/>
              </w:rPr>
              <w:t>-</w:t>
            </w:r>
            <w:r w:rsidR="000C3840">
              <w:rPr>
                <w:rFonts w:ascii="Arial" w:hAnsi="Arial" w:cs="Arial"/>
                <w:sz w:val="20"/>
                <w:szCs w:val="20"/>
              </w:rPr>
              <w:t>állam</w:t>
            </w:r>
            <w:r w:rsidRPr="007F41D7">
              <w:rPr>
                <w:rFonts w:ascii="Arial" w:hAnsi="Arial" w:cs="Arial"/>
                <w:sz w:val="20"/>
                <w:szCs w:val="20"/>
              </w:rPr>
              <w:t>okban végzett tevékenységek</w:t>
            </w:r>
          </w:p>
        </w:tc>
        <w:tc>
          <w:tcPr>
            <w:tcW w:w="4253" w:type="dxa"/>
            <w:shd w:val="clear" w:color="auto" w:fill="auto"/>
            <w:tcMar>
              <w:top w:w="85" w:type="dxa"/>
            </w:tcMar>
            <w:vAlign w:val="center"/>
          </w:tcPr>
          <w:p w14:paraId="071A6129" w14:textId="5D77885F" w:rsidR="00623296" w:rsidRDefault="007259F3" w:rsidP="00623296">
            <w:pPr>
              <w:contextualSpacing/>
              <w:rPr>
                <w:rFonts w:ascii="Arial" w:hAnsi="Arial" w:cs="Arial"/>
                <w:sz w:val="20"/>
                <w:szCs w:val="20"/>
              </w:rPr>
            </w:pPr>
            <w:r>
              <w:rPr>
                <w:rFonts w:ascii="Arial" w:hAnsi="Arial" w:cs="Arial"/>
                <w:sz w:val="20"/>
                <w:szCs w:val="20"/>
              </w:rPr>
              <w:t>lásd P_01.02. tábla 132. sor</w:t>
            </w:r>
          </w:p>
        </w:tc>
      </w:tr>
      <w:tr w:rsidR="00623296" w:rsidRPr="00191B6F" w14:paraId="14D7FC0D" w14:textId="77777777" w:rsidTr="00960BA9">
        <w:tc>
          <w:tcPr>
            <w:tcW w:w="959" w:type="dxa"/>
            <w:shd w:val="clear" w:color="auto" w:fill="auto"/>
            <w:tcMar>
              <w:top w:w="85" w:type="dxa"/>
            </w:tcMar>
            <w:vAlign w:val="center"/>
          </w:tcPr>
          <w:p w14:paraId="18DAD3EE" w14:textId="7B42F893" w:rsidR="00623296" w:rsidRDefault="00623296" w:rsidP="00623296">
            <w:pPr>
              <w:contextualSpacing/>
              <w:rPr>
                <w:rFonts w:ascii="Arial" w:hAnsi="Arial" w:cs="Arial"/>
                <w:sz w:val="20"/>
                <w:szCs w:val="20"/>
              </w:rPr>
            </w:pPr>
            <w:r>
              <w:rPr>
                <w:rFonts w:ascii="Arial" w:hAnsi="Arial" w:cs="Arial"/>
                <w:sz w:val="20"/>
                <w:szCs w:val="20"/>
              </w:rPr>
              <w:t>083</w:t>
            </w:r>
          </w:p>
        </w:tc>
        <w:tc>
          <w:tcPr>
            <w:tcW w:w="1276" w:type="dxa"/>
            <w:vAlign w:val="center"/>
          </w:tcPr>
          <w:p w14:paraId="1E01198B" w14:textId="3CF5534A" w:rsidR="00623296" w:rsidRPr="00CC769B" w:rsidRDefault="00623296" w:rsidP="00623296">
            <w:pPr>
              <w:contextualSpacing/>
              <w:rPr>
                <w:rFonts w:ascii="Arial" w:hAnsi="Arial" w:cs="Arial"/>
                <w:sz w:val="20"/>
                <w:szCs w:val="20"/>
              </w:rPr>
            </w:pPr>
            <w:r>
              <w:rPr>
                <w:rFonts w:ascii="Arial" w:hAnsi="Arial" w:cs="Arial"/>
                <w:sz w:val="20"/>
                <w:szCs w:val="20"/>
              </w:rPr>
              <w:t>1.3.3.</w:t>
            </w:r>
          </w:p>
        </w:tc>
        <w:tc>
          <w:tcPr>
            <w:tcW w:w="2976" w:type="dxa"/>
            <w:shd w:val="clear" w:color="auto" w:fill="auto"/>
            <w:tcMar>
              <w:top w:w="85" w:type="dxa"/>
            </w:tcMar>
            <w:vAlign w:val="center"/>
          </w:tcPr>
          <w:p w14:paraId="2B3DB94C" w14:textId="2A681820" w:rsidR="00623296" w:rsidRDefault="004E2B22" w:rsidP="00623296">
            <w:pPr>
              <w:contextualSpacing/>
              <w:rPr>
                <w:rFonts w:ascii="Arial" w:hAnsi="Arial" w:cs="Arial"/>
                <w:sz w:val="20"/>
                <w:szCs w:val="20"/>
              </w:rPr>
            </w:pPr>
            <w:r>
              <w:rPr>
                <w:rFonts w:ascii="Arial" w:hAnsi="Arial" w:cs="Arial"/>
                <w:sz w:val="20"/>
                <w:szCs w:val="20"/>
              </w:rPr>
              <w:t>Harmadik ország</w:t>
            </w:r>
            <w:r w:rsidR="00623296" w:rsidRPr="007F41D7">
              <w:rPr>
                <w:rFonts w:ascii="Arial" w:hAnsi="Arial" w:cs="Arial"/>
                <w:sz w:val="20"/>
                <w:szCs w:val="20"/>
              </w:rPr>
              <w:t>ban végzett tevékenységek</w:t>
            </w:r>
          </w:p>
        </w:tc>
        <w:tc>
          <w:tcPr>
            <w:tcW w:w="4253" w:type="dxa"/>
            <w:shd w:val="clear" w:color="auto" w:fill="auto"/>
            <w:tcMar>
              <w:top w:w="85" w:type="dxa"/>
            </w:tcMar>
            <w:vAlign w:val="center"/>
          </w:tcPr>
          <w:p w14:paraId="79FA5D3E" w14:textId="169ED008" w:rsidR="00623296" w:rsidRDefault="007259F3" w:rsidP="00623296">
            <w:pPr>
              <w:contextualSpacing/>
              <w:rPr>
                <w:rFonts w:ascii="Arial" w:hAnsi="Arial" w:cs="Arial"/>
                <w:sz w:val="20"/>
                <w:szCs w:val="20"/>
              </w:rPr>
            </w:pPr>
            <w:r>
              <w:rPr>
                <w:rFonts w:ascii="Arial" w:hAnsi="Arial" w:cs="Arial"/>
                <w:sz w:val="20"/>
                <w:szCs w:val="20"/>
              </w:rPr>
              <w:t>lásd P_01.02. tábla 133. sor</w:t>
            </w:r>
          </w:p>
        </w:tc>
      </w:tr>
      <w:tr w:rsidR="00623296" w:rsidRPr="00191B6F" w14:paraId="22B7F102" w14:textId="77777777" w:rsidTr="00960BA9">
        <w:tc>
          <w:tcPr>
            <w:tcW w:w="959" w:type="dxa"/>
            <w:shd w:val="clear" w:color="auto" w:fill="auto"/>
            <w:tcMar>
              <w:top w:w="85" w:type="dxa"/>
            </w:tcMar>
            <w:vAlign w:val="center"/>
          </w:tcPr>
          <w:p w14:paraId="3CED412F" w14:textId="2F0880E8" w:rsidR="00623296" w:rsidRDefault="00623296" w:rsidP="00623296">
            <w:pPr>
              <w:contextualSpacing/>
              <w:rPr>
                <w:rFonts w:ascii="Arial" w:hAnsi="Arial" w:cs="Arial"/>
                <w:sz w:val="20"/>
                <w:szCs w:val="20"/>
              </w:rPr>
            </w:pPr>
            <w:r>
              <w:rPr>
                <w:rFonts w:ascii="Arial" w:hAnsi="Arial" w:cs="Arial"/>
                <w:sz w:val="20"/>
                <w:szCs w:val="20"/>
              </w:rPr>
              <w:lastRenderedPageBreak/>
              <w:t>084</w:t>
            </w:r>
          </w:p>
        </w:tc>
        <w:tc>
          <w:tcPr>
            <w:tcW w:w="1276" w:type="dxa"/>
            <w:vAlign w:val="center"/>
          </w:tcPr>
          <w:p w14:paraId="74EA8655" w14:textId="659F6ED0" w:rsidR="00623296" w:rsidRPr="00CC769B" w:rsidRDefault="00623296" w:rsidP="00623296">
            <w:pPr>
              <w:contextualSpacing/>
              <w:rPr>
                <w:rFonts w:ascii="Arial" w:hAnsi="Arial" w:cs="Arial"/>
                <w:sz w:val="20"/>
                <w:szCs w:val="20"/>
              </w:rPr>
            </w:pPr>
            <w:r>
              <w:rPr>
                <w:rFonts w:ascii="Arial" w:hAnsi="Arial" w:cs="Arial"/>
                <w:sz w:val="20"/>
                <w:szCs w:val="20"/>
              </w:rPr>
              <w:t>1.4.</w:t>
            </w:r>
          </w:p>
        </w:tc>
        <w:tc>
          <w:tcPr>
            <w:tcW w:w="2976" w:type="dxa"/>
            <w:shd w:val="clear" w:color="auto" w:fill="auto"/>
            <w:tcMar>
              <w:top w:w="85" w:type="dxa"/>
            </w:tcMar>
            <w:vAlign w:val="center"/>
          </w:tcPr>
          <w:p w14:paraId="6430580C" w14:textId="4957C169" w:rsidR="00623296" w:rsidRDefault="007259F3" w:rsidP="00623296">
            <w:pPr>
              <w:contextualSpacing/>
              <w:rPr>
                <w:rFonts w:ascii="Arial" w:hAnsi="Arial" w:cs="Arial"/>
                <w:sz w:val="20"/>
                <w:szCs w:val="20"/>
              </w:rPr>
            </w:pPr>
            <w:r>
              <w:rPr>
                <w:rFonts w:ascii="Arial" w:hAnsi="Arial" w:cs="Arial"/>
                <w:sz w:val="20"/>
                <w:szCs w:val="20"/>
              </w:rPr>
              <w:t>Egyéb</w:t>
            </w:r>
            <w:r w:rsidR="00623296" w:rsidRPr="007F41D7">
              <w:rPr>
                <w:rFonts w:ascii="Arial" w:hAnsi="Arial" w:cs="Arial"/>
                <w:sz w:val="20"/>
                <w:szCs w:val="20"/>
              </w:rPr>
              <w:t xml:space="preserve"> pénzügyi vállalatoktól kapott betétek (visszavásárlási megállapodások kivételével)</w:t>
            </w:r>
          </w:p>
        </w:tc>
        <w:tc>
          <w:tcPr>
            <w:tcW w:w="4253" w:type="dxa"/>
            <w:shd w:val="clear" w:color="auto" w:fill="auto"/>
            <w:tcMar>
              <w:top w:w="85" w:type="dxa"/>
            </w:tcMar>
            <w:vAlign w:val="center"/>
          </w:tcPr>
          <w:p w14:paraId="2DAEB73A" w14:textId="424C6DB2" w:rsidR="00623296" w:rsidRDefault="007259F3" w:rsidP="00623296">
            <w:pPr>
              <w:contextualSpacing/>
              <w:rPr>
                <w:rFonts w:ascii="Arial" w:hAnsi="Arial" w:cs="Arial"/>
                <w:sz w:val="20"/>
                <w:szCs w:val="20"/>
              </w:rPr>
            </w:pPr>
            <w:r>
              <w:rPr>
                <w:rFonts w:ascii="Arial" w:hAnsi="Arial" w:cs="Arial"/>
                <w:sz w:val="20"/>
                <w:szCs w:val="20"/>
              </w:rPr>
              <w:t>lásd P_01.02. tábla 140. sor</w:t>
            </w:r>
          </w:p>
        </w:tc>
      </w:tr>
      <w:tr w:rsidR="00623296" w:rsidRPr="00191B6F" w14:paraId="0D3E9A43" w14:textId="77777777" w:rsidTr="00960BA9">
        <w:tc>
          <w:tcPr>
            <w:tcW w:w="959" w:type="dxa"/>
            <w:shd w:val="clear" w:color="auto" w:fill="auto"/>
            <w:tcMar>
              <w:top w:w="85" w:type="dxa"/>
            </w:tcMar>
            <w:vAlign w:val="center"/>
          </w:tcPr>
          <w:p w14:paraId="7ADEBFF5" w14:textId="2398D43F" w:rsidR="00623296" w:rsidRDefault="00623296" w:rsidP="00623296">
            <w:pPr>
              <w:contextualSpacing/>
              <w:rPr>
                <w:rFonts w:ascii="Arial" w:hAnsi="Arial" w:cs="Arial"/>
                <w:sz w:val="20"/>
                <w:szCs w:val="20"/>
              </w:rPr>
            </w:pPr>
            <w:r>
              <w:rPr>
                <w:rFonts w:ascii="Arial" w:hAnsi="Arial" w:cs="Arial"/>
                <w:sz w:val="20"/>
                <w:szCs w:val="20"/>
              </w:rPr>
              <w:t>085</w:t>
            </w:r>
          </w:p>
        </w:tc>
        <w:tc>
          <w:tcPr>
            <w:tcW w:w="1276" w:type="dxa"/>
            <w:vAlign w:val="center"/>
          </w:tcPr>
          <w:p w14:paraId="4E771DCD" w14:textId="30EC559D" w:rsidR="00623296" w:rsidRPr="00CC769B" w:rsidRDefault="00623296" w:rsidP="00623296">
            <w:pPr>
              <w:contextualSpacing/>
              <w:rPr>
                <w:rFonts w:ascii="Arial" w:hAnsi="Arial" w:cs="Arial"/>
                <w:sz w:val="20"/>
                <w:szCs w:val="20"/>
              </w:rPr>
            </w:pPr>
            <w:r>
              <w:rPr>
                <w:rFonts w:ascii="Arial" w:hAnsi="Arial" w:cs="Arial"/>
                <w:sz w:val="20"/>
                <w:szCs w:val="20"/>
              </w:rPr>
              <w:t>1.4.1</w:t>
            </w:r>
            <w:r w:rsidR="00521A47">
              <w:rPr>
                <w:rFonts w:ascii="Arial" w:hAnsi="Arial" w:cs="Arial"/>
                <w:sz w:val="20"/>
                <w:szCs w:val="20"/>
              </w:rPr>
              <w:t>.</w:t>
            </w:r>
          </w:p>
        </w:tc>
        <w:tc>
          <w:tcPr>
            <w:tcW w:w="2976" w:type="dxa"/>
            <w:shd w:val="clear" w:color="auto" w:fill="auto"/>
            <w:tcMar>
              <w:top w:w="85" w:type="dxa"/>
            </w:tcMar>
            <w:vAlign w:val="center"/>
          </w:tcPr>
          <w:p w14:paraId="4ABF2ECB" w14:textId="5A1934F8" w:rsidR="00623296" w:rsidRDefault="00623296" w:rsidP="00623296">
            <w:pPr>
              <w:contextualSpacing/>
              <w:rPr>
                <w:rFonts w:ascii="Arial" w:hAnsi="Arial" w:cs="Arial"/>
                <w:sz w:val="20"/>
                <w:szCs w:val="20"/>
              </w:rPr>
            </w:pPr>
            <w:r w:rsidRPr="007F41D7">
              <w:rPr>
                <w:rFonts w:ascii="Arial" w:hAnsi="Arial" w:cs="Arial"/>
                <w:sz w:val="20"/>
                <w:szCs w:val="20"/>
              </w:rPr>
              <w:t>Hazai tevékenységek</w:t>
            </w:r>
          </w:p>
        </w:tc>
        <w:tc>
          <w:tcPr>
            <w:tcW w:w="4253" w:type="dxa"/>
            <w:shd w:val="clear" w:color="auto" w:fill="auto"/>
            <w:tcMar>
              <w:top w:w="85" w:type="dxa"/>
            </w:tcMar>
            <w:vAlign w:val="center"/>
          </w:tcPr>
          <w:p w14:paraId="2372FC1D" w14:textId="5D6C0DCA" w:rsidR="00623296" w:rsidRDefault="007259F3" w:rsidP="00623296">
            <w:pPr>
              <w:contextualSpacing/>
              <w:rPr>
                <w:rFonts w:ascii="Arial" w:hAnsi="Arial" w:cs="Arial"/>
                <w:sz w:val="20"/>
                <w:szCs w:val="20"/>
              </w:rPr>
            </w:pPr>
            <w:r>
              <w:rPr>
                <w:rFonts w:ascii="Arial" w:hAnsi="Arial" w:cs="Arial"/>
                <w:sz w:val="20"/>
                <w:szCs w:val="20"/>
              </w:rPr>
              <w:t>lásd P_01.02. tábla 141. sor</w:t>
            </w:r>
          </w:p>
        </w:tc>
      </w:tr>
      <w:tr w:rsidR="00623296" w:rsidRPr="00191B6F" w14:paraId="28F6BAFA" w14:textId="77777777" w:rsidTr="00960BA9">
        <w:tc>
          <w:tcPr>
            <w:tcW w:w="959" w:type="dxa"/>
            <w:shd w:val="clear" w:color="auto" w:fill="auto"/>
            <w:tcMar>
              <w:top w:w="85" w:type="dxa"/>
            </w:tcMar>
            <w:vAlign w:val="center"/>
          </w:tcPr>
          <w:p w14:paraId="35B0B8E2" w14:textId="6B5BDC4D" w:rsidR="00623296" w:rsidRDefault="00623296" w:rsidP="00623296">
            <w:pPr>
              <w:contextualSpacing/>
              <w:rPr>
                <w:rFonts w:ascii="Arial" w:hAnsi="Arial" w:cs="Arial"/>
                <w:sz w:val="20"/>
                <w:szCs w:val="20"/>
              </w:rPr>
            </w:pPr>
            <w:r>
              <w:rPr>
                <w:rFonts w:ascii="Arial" w:hAnsi="Arial" w:cs="Arial"/>
                <w:sz w:val="20"/>
                <w:szCs w:val="20"/>
              </w:rPr>
              <w:t>086</w:t>
            </w:r>
          </w:p>
        </w:tc>
        <w:tc>
          <w:tcPr>
            <w:tcW w:w="1276" w:type="dxa"/>
            <w:vAlign w:val="center"/>
          </w:tcPr>
          <w:p w14:paraId="57B186F3" w14:textId="08D20879" w:rsidR="00623296" w:rsidRPr="00CC769B" w:rsidRDefault="00623296" w:rsidP="00623296">
            <w:pPr>
              <w:contextualSpacing/>
              <w:rPr>
                <w:rFonts w:ascii="Arial" w:hAnsi="Arial" w:cs="Arial"/>
                <w:sz w:val="20"/>
                <w:szCs w:val="20"/>
              </w:rPr>
            </w:pPr>
            <w:r>
              <w:rPr>
                <w:rFonts w:ascii="Arial" w:hAnsi="Arial" w:cs="Arial"/>
                <w:sz w:val="20"/>
                <w:szCs w:val="20"/>
              </w:rPr>
              <w:t>1.4.2.</w:t>
            </w:r>
          </w:p>
        </w:tc>
        <w:tc>
          <w:tcPr>
            <w:tcW w:w="2976" w:type="dxa"/>
            <w:shd w:val="clear" w:color="auto" w:fill="auto"/>
            <w:tcMar>
              <w:top w:w="85" w:type="dxa"/>
            </w:tcMar>
            <w:vAlign w:val="center"/>
          </w:tcPr>
          <w:p w14:paraId="5092F1BE" w14:textId="47707DFD" w:rsidR="00623296" w:rsidRDefault="00623296" w:rsidP="00623296">
            <w:pPr>
              <w:contextualSpacing/>
              <w:rPr>
                <w:rFonts w:ascii="Arial" w:hAnsi="Arial" w:cs="Arial"/>
                <w:sz w:val="20"/>
                <w:szCs w:val="20"/>
              </w:rPr>
            </w:pPr>
            <w:r w:rsidRPr="007F41D7">
              <w:rPr>
                <w:rFonts w:ascii="Arial" w:hAnsi="Arial" w:cs="Arial"/>
                <w:sz w:val="20"/>
                <w:szCs w:val="20"/>
              </w:rPr>
              <w:t>Más EGT</w:t>
            </w:r>
            <w:r w:rsidR="00930335">
              <w:rPr>
                <w:rFonts w:ascii="Arial" w:hAnsi="Arial" w:cs="Arial"/>
                <w:sz w:val="20"/>
                <w:szCs w:val="20"/>
              </w:rPr>
              <w:t>-</w:t>
            </w:r>
            <w:r w:rsidR="000C3840">
              <w:rPr>
                <w:rFonts w:ascii="Arial" w:hAnsi="Arial" w:cs="Arial"/>
                <w:sz w:val="20"/>
                <w:szCs w:val="20"/>
              </w:rPr>
              <w:t>állam</w:t>
            </w:r>
            <w:r w:rsidRPr="007F41D7">
              <w:rPr>
                <w:rFonts w:ascii="Arial" w:hAnsi="Arial" w:cs="Arial"/>
                <w:sz w:val="20"/>
                <w:szCs w:val="20"/>
              </w:rPr>
              <w:t>okban végzett tevékenységek</w:t>
            </w:r>
          </w:p>
        </w:tc>
        <w:tc>
          <w:tcPr>
            <w:tcW w:w="4253" w:type="dxa"/>
            <w:shd w:val="clear" w:color="auto" w:fill="auto"/>
            <w:tcMar>
              <w:top w:w="85" w:type="dxa"/>
            </w:tcMar>
            <w:vAlign w:val="center"/>
          </w:tcPr>
          <w:p w14:paraId="3050DB38" w14:textId="363B4CAD" w:rsidR="00623296" w:rsidRDefault="007259F3" w:rsidP="00623296">
            <w:pPr>
              <w:contextualSpacing/>
              <w:rPr>
                <w:rFonts w:ascii="Arial" w:hAnsi="Arial" w:cs="Arial"/>
                <w:sz w:val="20"/>
                <w:szCs w:val="20"/>
              </w:rPr>
            </w:pPr>
            <w:r>
              <w:rPr>
                <w:rFonts w:ascii="Arial" w:hAnsi="Arial" w:cs="Arial"/>
                <w:sz w:val="20"/>
                <w:szCs w:val="20"/>
              </w:rPr>
              <w:t>lásd P_01.02. tábla 142. sor</w:t>
            </w:r>
          </w:p>
        </w:tc>
      </w:tr>
      <w:tr w:rsidR="00623296" w:rsidRPr="00191B6F" w14:paraId="377CA0E8" w14:textId="77777777" w:rsidTr="00960BA9">
        <w:tc>
          <w:tcPr>
            <w:tcW w:w="959" w:type="dxa"/>
            <w:shd w:val="clear" w:color="auto" w:fill="auto"/>
            <w:tcMar>
              <w:top w:w="85" w:type="dxa"/>
            </w:tcMar>
            <w:vAlign w:val="center"/>
          </w:tcPr>
          <w:p w14:paraId="254A4F63" w14:textId="1F61C7B9" w:rsidR="00623296" w:rsidRDefault="00623296" w:rsidP="00623296">
            <w:pPr>
              <w:contextualSpacing/>
              <w:rPr>
                <w:rFonts w:ascii="Arial" w:hAnsi="Arial" w:cs="Arial"/>
                <w:sz w:val="20"/>
                <w:szCs w:val="20"/>
              </w:rPr>
            </w:pPr>
            <w:r>
              <w:rPr>
                <w:rFonts w:ascii="Arial" w:hAnsi="Arial" w:cs="Arial"/>
                <w:sz w:val="20"/>
                <w:szCs w:val="20"/>
              </w:rPr>
              <w:t>087</w:t>
            </w:r>
          </w:p>
        </w:tc>
        <w:tc>
          <w:tcPr>
            <w:tcW w:w="1276" w:type="dxa"/>
            <w:vAlign w:val="center"/>
          </w:tcPr>
          <w:p w14:paraId="2ED45F95" w14:textId="6A64580E" w:rsidR="00623296" w:rsidRPr="00CC769B" w:rsidRDefault="00623296" w:rsidP="00623296">
            <w:pPr>
              <w:contextualSpacing/>
              <w:rPr>
                <w:rFonts w:ascii="Arial" w:hAnsi="Arial" w:cs="Arial"/>
                <w:sz w:val="20"/>
                <w:szCs w:val="20"/>
              </w:rPr>
            </w:pPr>
            <w:r>
              <w:rPr>
                <w:rFonts w:ascii="Arial" w:hAnsi="Arial" w:cs="Arial"/>
                <w:sz w:val="20"/>
                <w:szCs w:val="20"/>
              </w:rPr>
              <w:t>1.4.3.</w:t>
            </w:r>
          </w:p>
        </w:tc>
        <w:tc>
          <w:tcPr>
            <w:tcW w:w="2976" w:type="dxa"/>
            <w:shd w:val="clear" w:color="auto" w:fill="auto"/>
            <w:tcMar>
              <w:top w:w="85" w:type="dxa"/>
            </w:tcMar>
            <w:vAlign w:val="center"/>
          </w:tcPr>
          <w:p w14:paraId="2463B012" w14:textId="619D00A7" w:rsidR="00623296" w:rsidRDefault="004E2B22" w:rsidP="00623296">
            <w:pPr>
              <w:contextualSpacing/>
              <w:rPr>
                <w:rFonts w:ascii="Arial" w:hAnsi="Arial" w:cs="Arial"/>
                <w:sz w:val="20"/>
                <w:szCs w:val="20"/>
              </w:rPr>
            </w:pPr>
            <w:r>
              <w:rPr>
                <w:rFonts w:ascii="Arial" w:hAnsi="Arial" w:cs="Arial"/>
                <w:sz w:val="20"/>
                <w:szCs w:val="20"/>
              </w:rPr>
              <w:t>Harmadik ország</w:t>
            </w:r>
            <w:r w:rsidR="00623296" w:rsidRPr="007F41D7">
              <w:rPr>
                <w:rFonts w:ascii="Arial" w:hAnsi="Arial" w:cs="Arial"/>
                <w:sz w:val="20"/>
                <w:szCs w:val="20"/>
              </w:rPr>
              <w:t>ban végzett tevékenységek</w:t>
            </w:r>
          </w:p>
        </w:tc>
        <w:tc>
          <w:tcPr>
            <w:tcW w:w="4253" w:type="dxa"/>
            <w:shd w:val="clear" w:color="auto" w:fill="auto"/>
            <w:tcMar>
              <w:top w:w="85" w:type="dxa"/>
            </w:tcMar>
            <w:vAlign w:val="center"/>
          </w:tcPr>
          <w:p w14:paraId="1F666D52" w14:textId="21E2F85D" w:rsidR="00623296" w:rsidRDefault="007259F3" w:rsidP="00623296">
            <w:pPr>
              <w:contextualSpacing/>
              <w:rPr>
                <w:rFonts w:ascii="Arial" w:hAnsi="Arial" w:cs="Arial"/>
                <w:sz w:val="20"/>
                <w:szCs w:val="20"/>
              </w:rPr>
            </w:pPr>
            <w:r>
              <w:rPr>
                <w:rFonts w:ascii="Arial" w:hAnsi="Arial" w:cs="Arial"/>
                <w:sz w:val="20"/>
                <w:szCs w:val="20"/>
              </w:rPr>
              <w:t>lásd P_01.02. tábla 143. sor</w:t>
            </w:r>
          </w:p>
        </w:tc>
      </w:tr>
      <w:tr w:rsidR="00623296" w:rsidRPr="00191B6F" w14:paraId="0992ECFC" w14:textId="77777777" w:rsidTr="00960BA9">
        <w:tc>
          <w:tcPr>
            <w:tcW w:w="959" w:type="dxa"/>
            <w:shd w:val="clear" w:color="auto" w:fill="auto"/>
            <w:tcMar>
              <w:top w:w="85" w:type="dxa"/>
            </w:tcMar>
            <w:vAlign w:val="center"/>
          </w:tcPr>
          <w:p w14:paraId="36ED44AB" w14:textId="71FC8D20" w:rsidR="00623296" w:rsidRDefault="00623296" w:rsidP="00623296">
            <w:pPr>
              <w:contextualSpacing/>
              <w:rPr>
                <w:rFonts w:ascii="Arial" w:hAnsi="Arial" w:cs="Arial"/>
                <w:sz w:val="20"/>
                <w:szCs w:val="20"/>
              </w:rPr>
            </w:pPr>
            <w:r>
              <w:rPr>
                <w:rFonts w:ascii="Arial" w:hAnsi="Arial" w:cs="Arial"/>
                <w:sz w:val="20"/>
                <w:szCs w:val="20"/>
              </w:rPr>
              <w:t>088</w:t>
            </w:r>
          </w:p>
        </w:tc>
        <w:tc>
          <w:tcPr>
            <w:tcW w:w="1276" w:type="dxa"/>
            <w:vAlign w:val="center"/>
          </w:tcPr>
          <w:p w14:paraId="47703826" w14:textId="26EF6DA8" w:rsidR="00623296" w:rsidRPr="00CC769B" w:rsidRDefault="00623296" w:rsidP="00623296">
            <w:pPr>
              <w:contextualSpacing/>
              <w:rPr>
                <w:rFonts w:ascii="Arial" w:hAnsi="Arial" w:cs="Arial"/>
                <w:sz w:val="20"/>
                <w:szCs w:val="20"/>
              </w:rPr>
            </w:pPr>
            <w:r>
              <w:rPr>
                <w:rFonts w:ascii="Arial" w:hAnsi="Arial" w:cs="Arial"/>
                <w:sz w:val="20"/>
                <w:szCs w:val="20"/>
              </w:rPr>
              <w:t>1.5.</w:t>
            </w:r>
          </w:p>
        </w:tc>
        <w:tc>
          <w:tcPr>
            <w:tcW w:w="2976" w:type="dxa"/>
            <w:shd w:val="clear" w:color="auto" w:fill="auto"/>
            <w:tcMar>
              <w:top w:w="85" w:type="dxa"/>
            </w:tcMar>
            <w:vAlign w:val="center"/>
          </w:tcPr>
          <w:p w14:paraId="3726F674" w14:textId="716D7C8E" w:rsidR="00623296" w:rsidRDefault="00623296" w:rsidP="00623296">
            <w:pPr>
              <w:contextualSpacing/>
              <w:rPr>
                <w:rFonts w:ascii="Arial" w:hAnsi="Arial" w:cs="Arial"/>
                <w:sz w:val="20"/>
                <w:szCs w:val="20"/>
              </w:rPr>
            </w:pPr>
            <w:r>
              <w:rPr>
                <w:rFonts w:ascii="Arial" w:hAnsi="Arial" w:cs="Arial"/>
                <w:sz w:val="20"/>
                <w:szCs w:val="20"/>
              </w:rPr>
              <w:t>K</w:t>
            </w:r>
            <w:r w:rsidRPr="007F41D7">
              <w:rPr>
                <w:rFonts w:ascii="Arial" w:hAnsi="Arial" w:cs="Arial"/>
                <w:sz w:val="20"/>
                <w:szCs w:val="20"/>
              </w:rPr>
              <w:t>özponti bankoktól kapott betétek (visszavásárlási megállapodások kivételével)</w:t>
            </w:r>
          </w:p>
        </w:tc>
        <w:tc>
          <w:tcPr>
            <w:tcW w:w="4253" w:type="dxa"/>
            <w:shd w:val="clear" w:color="auto" w:fill="auto"/>
            <w:tcMar>
              <w:top w:w="85" w:type="dxa"/>
            </w:tcMar>
            <w:vAlign w:val="center"/>
          </w:tcPr>
          <w:p w14:paraId="6CC98226" w14:textId="310BE053" w:rsidR="00623296" w:rsidRDefault="007259F3" w:rsidP="00623296">
            <w:pPr>
              <w:contextualSpacing/>
              <w:rPr>
                <w:rFonts w:ascii="Arial" w:hAnsi="Arial" w:cs="Arial"/>
                <w:sz w:val="20"/>
                <w:szCs w:val="20"/>
              </w:rPr>
            </w:pPr>
            <w:r>
              <w:rPr>
                <w:rFonts w:ascii="Arial" w:hAnsi="Arial" w:cs="Arial"/>
                <w:sz w:val="20"/>
                <w:szCs w:val="20"/>
              </w:rPr>
              <w:t>lásd P_01.02. tábla 145. sor</w:t>
            </w:r>
          </w:p>
        </w:tc>
      </w:tr>
      <w:tr w:rsidR="00623296" w:rsidRPr="00191B6F" w14:paraId="383F50A4" w14:textId="77777777" w:rsidTr="00960BA9">
        <w:tc>
          <w:tcPr>
            <w:tcW w:w="959" w:type="dxa"/>
            <w:shd w:val="clear" w:color="auto" w:fill="auto"/>
            <w:tcMar>
              <w:top w:w="85" w:type="dxa"/>
            </w:tcMar>
            <w:vAlign w:val="center"/>
          </w:tcPr>
          <w:p w14:paraId="649A38B7" w14:textId="3A6BA6F8" w:rsidR="00623296" w:rsidRDefault="00623296" w:rsidP="00623296">
            <w:pPr>
              <w:contextualSpacing/>
              <w:rPr>
                <w:rFonts w:ascii="Arial" w:hAnsi="Arial" w:cs="Arial"/>
                <w:sz w:val="20"/>
                <w:szCs w:val="20"/>
              </w:rPr>
            </w:pPr>
            <w:r>
              <w:rPr>
                <w:rFonts w:ascii="Arial" w:hAnsi="Arial" w:cs="Arial"/>
                <w:sz w:val="20"/>
                <w:szCs w:val="20"/>
              </w:rPr>
              <w:t>089</w:t>
            </w:r>
          </w:p>
        </w:tc>
        <w:tc>
          <w:tcPr>
            <w:tcW w:w="1276" w:type="dxa"/>
            <w:vAlign w:val="center"/>
          </w:tcPr>
          <w:p w14:paraId="0B7EB507" w14:textId="76CDA3EE" w:rsidR="00623296" w:rsidRPr="00CC769B" w:rsidRDefault="00623296" w:rsidP="00623296">
            <w:pPr>
              <w:contextualSpacing/>
              <w:rPr>
                <w:rFonts w:ascii="Arial" w:hAnsi="Arial" w:cs="Arial"/>
                <w:sz w:val="20"/>
                <w:szCs w:val="20"/>
              </w:rPr>
            </w:pPr>
            <w:r>
              <w:rPr>
                <w:rFonts w:ascii="Arial" w:hAnsi="Arial" w:cs="Arial"/>
                <w:sz w:val="20"/>
                <w:szCs w:val="20"/>
              </w:rPr>
              <w:t>1.6.</w:t>
            </w:r>
          </w:p>
        </w:tc>
        <w:tc>
          <w:tcPr>
            <w:tcW w:w="2976" w:type="dxa"/>
            <w:shd w:val="clear" w:color="auto" w:fill="auto"/>
            <w:tcMar>
              <w:top w:w="85" w:type="dxa"/>
            </w:tcMar>
            <w:vAlign w:val="center"/>
          </w:tcPr>
          <w:p w14:paraId="16F37A47" w14:textId="121FA530" w:rsidR="00623296" w:rsidRDefault="00623296" w:rsidP="00623296">
            <w:pPr>
              <w:contextualSpacing/>
              <w:rPr>
                <w:rFonts w:ascii="Arial" w:hAnsi="Arial" w:cs="Arial"/>
                <w:sz w:val="20"/>
                <w:szCs w:val="20"/>
              </w:rPr>
            </w:pPr>
            <w:r w:rsidRPr="007F41D7">
              <w:rPr>
                <w:rFonts w:ascii="Arial" w:hAnsi="Arial" w:cs="Arial"/>
                <w:sz w:val="20"/>
                <w:szCs w:val="20"/>
              </w:rPr>
              <w:t>Államháztartásoktól kapott betétek (visszavásárlási megállapodások kivételével)</w:t>
            </w:r>
          </w:p>
        </w:tc>
        <w:tc>
          <w:tcPr>
            <w:tcW w:w="4253" w:type="dxa"/>
            <w:shd w:val="clear" w:color="auto" w:fill="auto"/>
            <w:tcMar>
              <w:top w:w="85" w:type="dxa"/>
            </w:tcMar>
            <w:vAlign w:val="center"/>
          </w:tcPr>
          <w:p w14:paraId="15A6BA21" w14:textId="49493025" w:rsidR="00623296" w:rsidRDefault="007259F3" w:rsidP="00623296">
            <w:pPr>
              <w:contextualSpacing/>
              <w:rPr>
                <w:rFonts w:ascii="Arial" w:hAnsi="Arial" w:cs="Arial"/>
                <w:sz w:val="20"/>
                <w:szCs w:val="20"/>
              </w:rPr>
            </w:pPr>
            <w:r>
              <w:rPr>
                <w:rFonts w:ascii="Arial" w:hAnsi="Arial" w:cs="Arial"/>
                <w:sz w:val="20"/>
                <w:szCs w:val="20"/>
              </w:rPr>
              <w:t>lásd P_01.02. tábla 147. sor</w:t>
            </w:r>
          </w:p>
        </w:tc>
      </w:tr>
      <w:tr w:rsidR="00623296" w:rsidRPr="00191B6F" w14:paraId="6016A9E4" w14:textId="77777777" w:rsidTr="00960BA9">
        <w:tc>
          <w:tcPr>
            <w:tcW w:w="959" w:type="dxa"/>
            <w:shd w:val="clear" w:color="auto" w:fill="auto"/>
            <w:tcMar>
              <w:top w:w="85" w:type="dxa"/>
            </w:tcMar>
            <w:vAlign w:val="center"/>
          </w:tcPr>
          <w:p w14:paraId="54B27502" w14:textId="77777777" w:rsidR="00623296" w:rsidRDefault="00623296" w:rsidP="00623296">
            <w:pPr>
              <w:contextualSpacing/>
              <w:rPr>
                <w:rFonts w:ascii="Arial" w:hAnsi="Arial" w:cs="Arial"/>
                <w:sz w:val="20"/>
                <w:szCs w:val="20"/>
              </w:rPr>
            </w:pPr>
            <w:r>
              <w:rPr>
                <w:rFonts w:ascii="Arial" w:hAnsi="Arial" w:cs="Arial"/>
                <w:sz w:val="20"/>
                <w:szCs w:val="20"/>
              </w:rPr>
              <w:t>090</w:t>
            </w:r>
          </w:p>
        </w:tc>
        <w:tc>
          <w:tcPr>
            <w:tcW w:w="1276" w:type="dxa"/>
            <w:vAlign w:val="center"/>
          </w:tcPr>
          <w:p w14:paraId="5D3FB979" w14:textId="3E8DB7E4" w:rsidR="00623296" w:rsidRDefault="00623296" w:rsidP="00623296">
            <w:pPr>
              <w:contextualSpacing/>
              <w:rPr>
                <w:rFonts w:ascii="Arial" w:hAnsi="Arial" w:cs="Arial"/>
                <w:sz w:val="20"/>
                <w:szCs w:val="20"/>
              </w:rPr>
            </w:pPr>
            <w:r w:rsidRPr="00CC769B">
              <w:rPr>
                <w:rFonts w:ascii="Arial" w:hAnsi="Arial" w:cs="Arial"/>
                <w:sz w:val="20"/>
                <w:szCs w:val="20"/>
              </w:rPr>
              <w:t>1.</w:t>
            </w:r>
            <w:r>
              <w:rPr>
                <w:rFonts w:ascii="Arial" w:hAnsi="Arial" w:cs="Arial"/>
                <w:sz w:val="20"/>
                <w:szCs w:val="20"/>
              </w:rPr>
              <w:t xml:space="preserve">7. </w:t>
            </w:r>
          </w:p>
        </w:tc>
        <w:tc>
          <w:tcPr>
            <w:tcW w:w="2976" w:type="dxa"/>
            <w:shd w:val="clear" w:color="auto" w:fill="auto"/>
            <w:tcMar>
              <w:top w:w="85" w:type="dxa"/>
            </w:tcMar>
            <w:vAlign w:val="center"/>
          </w:tcPr>
          <w:p w14:paraId="70BB3870" w14:textId="3B861C8E" w:rsidR="00623296" w:rsidRDefault="00623296" w:rsidP="00623296">
            <w:pPr>
              <w:contextualSpacing/>
              <w:rPr>
                <w:rFonts w:ascii="Arial" w:hAnsi="Arial" w:cs="Arial"/>
                <w:sz w:val="20"/>
                <w:szCs w:val="20"/>
              </w:rPr>
            </w:pPr>
            <w:r>
              <w:rPr>
                <w:rFonts w:ascii="Arial" w:hAnsi="Arial" w:cs="Arial"/>
                <w:sz w:val="20"/>
                <w:szCs w:val="20"/>
              </w:rPr>
              <w:t>Kibocsátott rövid lejáratú hitelviszonyt megtestesítő értékpapírok (eredeti lejárat</w:t>
            </w:r>
            <w:r w:rsidR="007259F3">
              <w:rPr>
                <w:rFonts w:ascii="Arial" w:hAnsi="Arial" w:cs="Arial"/>
                <w:sz w:val="20"/>
                <w:szCs w:val="20"/>
              </w:rPr>
              <w:t xml:space="preserve"> </w:t>
            </w:r>
            <w:r>
              <w:rPr>
                <w:rFonts w:ascii="Arial" w:hAnsi="Arial" w:cs="Arial"/>
                <w:sz w:val="20"/>
                <w:szCs w:val="20"/>
              </w:rPr>
              <w:t xml:space="preserve">&lt;1 év) </w:t>
            </w:r>
          </w:p>
        </w:tc>
        <w:tc>
          <w:tcPr>
            <w:tcW w:w="4253" w:type="dxa"/>
            <w:shd w:val="clear" w:color="auto" w:fill="auto"/>
            <w:tcMar>
              <w:top w:w="85" w:type="dxa"/>
            </w:tcMar>
            <w:vAlign w:val="center"/>
          </w:tcPr>
          <w:p w14:paraId="59710697" w14:textId="77777777" w:rsidR="00623296" w:rsidRDefault="00623296" w:rsidP="00623296">
            <w:pPr>
              <w:contextualSpacing/>
              <w:rPr>
                <w:rFonts w:ascii="Arial" w:hAnsi="Arial" w:cs="Arial"/>
                <w:sz w:val="20"/>
                <w:szCs w:val="20"/>
              </w:rPr>
            </w:pPr>
            <w:r>
              <w:rPr>
                <w:rFonts w:ascii="Arial" w:hAnsi="Arial" w:cs="Arial"/>
                <w:sz w:val="20"/>
                <w:szCs w:val="20"/>
              </w:rPr>
              <w:t>lásd P_01.02. tábla 150. sor</w:t>
            </w:r>
          </w:p>
        </w:tc>
      </w:tr>
      <w:tr w:rsidR="00623296" w:rsidRPr="00191B6F" w14:paraId="5799084C" w14:textId="77777777" w:rsidTr="00960BA9">
        <w:tc>
          <w:tcPr>
            <w:tcW w:w="959" w:type="dxa"/>
            <w:shd w:val="clear" w:color="auto" w:fill="auto"/>
            <w:tcMar>
              <w:top w:w="85" w:type="dxa"/>
            </w:tcMar>
            <w:vAlign w:val="center"/>
          </w:tcPr>
          <w:p w14:paraId="60808444" w14:textId="77777777" w:rsidR="00623296" w:rsidRDefault="00623296" w:rsidP="00623296">
            <w:pPr>
              <w:contextualSpacing/>
              <w:rPr>
                <w:rFonts w:ascii="Arial" w:hAnsi="Arial" w:cs="Arial"/>
                <w:sz w:val="20"/>
                <w:szCs w:val="20"/>
              </w:rPr>
            </w:pPr>
            <w:r>
              <w:rPr>
                <w:rFonts w:ascii="Arial" w:hAnsi="Arial" w:cs="Arial"/>
                <w:sz w:val="20"/>
                <w:szCs w:val="20"/>
              </w:rPr>
              <w:t>100</w:t>
            </w:r>
          </w:p>
        </w:tc>
        <w:tc>
          <w:tcPr>
            <w:tcW w:w="1276" w:type="dxa"/>
            <w:vAlign w:val="center"/>
          </w:tcPr>
          <w:p w14:paraId="3D5F08E2" w14:textId="271F85C7" w:rsidR="00623296" w:rsidRDefault="00623296" w:rsidP="00623296">
            <w:pPr>
              <w:contextualSpacing/>
              <w:rPr>
                <w:rFonts w:ascii="Arial" w:hAnsi="Arial" w:cs="Arial"/>
                <w:sz w:val="20"/>
                <w:szCs w:val="20"/>
              </w:rPr>
            </w:pPr>
            <w:r>
              <w:rPr>
                <w:rFonts w:ascii="Arial" w:hAnsi="Arial" w:cs="Arial"/>
                <w:sz w:val="20"/>
                <w:szCs w:val="20"/>
              </w:rPr>
              <w:t>1.8.</w:t>
            </w:r>
          </w:p>
        </w:tc>
        <w:tc>
          <w:tcPr>
            <w:tcW w:w="2976" w:type="dxa"/>
            <w:shd w:val="clear" w:color="auto" w:fill="auto"/>
            <w:tcMar>
              <w:top w:w="85" w:type="dxa"/>
            </w:tcMar>
            <w:vAlign w:val="center"/>
          </w:tcPr>
          <w:p w14:paraId="01E49A53" w14:textId="021A0BEE" w:rsidR="00623296" w:rsidRDefault="00623296" w:rsidP="00623296">
            <w:pPr>
              <w:contextualSpacing/>
              <w:rPr>
                <w:rFonts w:ascii="Arial" w:hAnsi="Arial" w:cs="Arial"/>
                <w:sz w:val="20"/>
                <w:szCs w:val="20"/>
              </w:rPr>
            </w:pPr>
            <w:r>
              <w:rPr>
                <w:rFonts w:ascii="Arial" w:hAnsi="Arial" w:cs="Arial"/>
                <w:sz w:val="20"/>
                <w:szCs w:val="20"/>
              </w:rPr>
              <w:t>Kibocsátott hosszú lejáratúhitelviszonyt megtestesítő értékpapírok (</w:t>
            </w:r>
            <w:r w:rsidRPr="00E12BB3">
              <w:rPr>
                <w:rFonts w:ascii="Arial" w:hAnsi="Arial" w:cs="Arial"/>
                <w:sz w:val="20"/>
                <w:szCs w:val="20"/>
              </w:rPr>
              <w:t xml:space="preserve">eredeti lejárat </w:t>
            </w:r>
            <w:r w:rsidR="00C358C4">
              <w:rPr>
                <w:rFonts w:ascii="Arial" w:hAnsi="Arial" w:cs="Arial"/>
                <w:sz w:val="20"/>
                <w:szCs w:val="20"/>
              </w:rPr>
              <w:t>≥</w:t>
            </w:r>
            <w:r w:rsidRPr="00E12BB3">
              <w:rPr>
                <w:rFonts w:ascii="Arial" w:hAnsi="Arial" w:cs="Arial"/>
                <w:sz w:val="20"/>
                <w:szCs w:val="20"/>
              </w:rPr>
              <w:t>1 év)</w:t>
            </w:r>
          </w:p>
        </w:tc>
        <w:tc>
          <w:tcPr>
            <w:tcW w:w="4253" w:type="dxa"/>
            <w:shd w:val="clear" w:color="auto" w:fill="auto"/>
            <w:tcMar>
              <w:top w:w="85" w:type="dxa"/>
            </w:tcMar>
            <w:vAlign w:val="center"/>
          </w:tcPr>
          <w:p w14:paraId="3A011BEC" w14:textId="391AAD17" w:rsidR="00623296" w:rsidRDefault="00623296" w:rsidP="00623296">
            <w:pPr>
              <w:contextualSpacing/>
              <w:rPr>
                <w:rFonts w:ascii="Arial" w:hAnsi="Arial" w:cs="Arial"/>
                <w:sz w:val="20"/>
                <w:szCs w:val="20"/>
              </w:rPr>
            </w:pPr>
            <w:r>
              <w:rPr>
                <w:rFonts w:ascii="Arial" w:hAnsi="Arial" w:cs="Arial"/>
                <w:sz w:val="20"/>
                <w:szCs w:val="20"/>
              </w:rPr>
              <w:t>lásd P_01.02. tábla 180. sor</w:t>
            </w:r>
          </w:p>
        </w:tc>
      </w:tr>
      <w:tr w:rsidR="00623296" w:rsidRPr="00191B6F" w14:paraId="57963F5D" w14:textId="77777777" w:rsidTr="00960BA9">
        <w:tc>
          <w:tcPr>
            <w:tcW w:w="959" w:type="dxa"/>
            <w:shd w:val="clear" w:color="auto" w:fill="auto"/>
            <w:tcMar>
              <w:top w:w="85" w:type="dxa"/>
            </w:tcMar>
            <w:vAlign w:val="center"/>
          </w:tcPr>
          <w:p w14:paraId="632A2CE3" w14:textId="3A4E2801" w:rsidR="00623296" w:rsidRDefault="00623296" w:rsidP="00623296">
            <w:pPr>
              <w:contextualSpacing/>
              <w:rPr>
                <w:rFonts w:ascii="Arial" w:hAnsi="Arial" w:cs="Arial"/>
                <w:sz w:val="20"/>
                <w:szCs w:val="20"/>
              </w:rPr>
            </w:pPr>
            <w:r>
              <w:rPr>
                <w:rFonts w:ascii="Arial" w:hAnsi="Arial" w:cs="Arial"/>
                <w:sz w:val="20"/>
                <w:szCs w:val="20"/>
              </w:rPr>
              <w:t>110</w:t>
            </w:r>
          </w:p>
        </w:tc>
        <w:tc>
          <w:tcPr>
            <w:tcW w:w="1276" w:type="dxa"/>
            <w:vAlign w:val="center"/>
          </w:tcPr>
          <w:p w14:paraId="6408E637" w14:textId="4280FD1C" w:rsidR="00623296" w:rsidRDefault="00623296" w:rsidP="00623296">
            <w:pPr>
              <w:contextualSpacing/>
              <w:rPr>
                <w:rFonts w:ascii="Arial" w:hAnsi="Arial" w:cs="Arial"/>
                <w:sz w:val="20"/>
                <w:szCs w:val="20"/>
              </w:rPr>
            </w:pPr>
            <w:r>
              <w:rPr>
                <w:rFonts w:ascii="Arial" w:hAnsi="Arial" w:cs="Arial"/>
                <w:sz w:val="20"/>
                <w:szCs w:val="20"/>
              </w:rPr>
              <w:t>1.8.1.</w:t>
            </w:r>
          </w:p>
        </w:tc>
        <w:tc>
          <w:tcPr>
            <w:tcW w:w="2976" w:type="dxa"/>
            <w:shd w:val="clear" w:color="auto" w:fill="auto"/>
            <w:tcMar>
              <w:top w:w="85" w:type="dxa"/>
            </w:tcMar>
            <w:vAlign w:val="center"/>
          </w:tcPr>
          <w:p w14:paraId="4474BF72" w14:textId="29DF9FB1" w:rsidR="00623296" w:rsidRDefault="00623296" w:rsidP="00623296">
            <w:pPr>
              <w:contextualSpacing/>
              <w:rPr>
                <w:rFonts w:ascii="Arial" w:hAnsi="Arial" w:cs="Arial"/>
                <w:sz w:val="20"/>
                <w:szCs w:val="20"/>
              </w:rPr>
            </w:pPr>
            <w:r w:rsidRPr="002E168E">
              <w:rPr>
                <w:rFonts w:ascii="Arial" w:hAnsi="Arial" w:cs="Arial"/>
                <w:sz w:val="20"/>
                <w:szCs w:val="20"/>
              </w:rPr>
              <w:t>Kibocsátott hosszú lejáratú, fedezetlen, hitelviszonyt megtestesítő értékpapírok összesen</w:t>
            </w:r>
          </w:p>
        </w:tc>
        <w:tc>
          <w:tcPr>
            <w:tcW w:w="4253" w:type="dxa"/>
            <w:shd w:val="clear" w:color="auto" w:fill="auto"/>
            <w:tcMar>
              <w:top w:w="85" w:type="dxa"/>
            </w:tcMar>
            <w:vAlign w:val="center"/>
          </w:tcPr>
          <w:p w14:paraId="4DE14EBB" w14:textId="7396ED10" w:rsidR="00623296" w:rsidRDefault="007259F3" w:rsidP="00623296">
            <w:pPr>
              <w:contextualSpacing/>
              <w:rPr>
                <w:rFonts w:ascii="Arial" w:hAnsi="Arial" w:cs="Arial"/>
                <w:sz w:val="20"/>
                <w:szCs w:val="20"/>
              </w:rPr>
            </w:pPr>
            <w:r>
              <w:rPr>
                <w:rFonts w:ascii="Arial" w:hAnsi="Arial" w:cs="Arial"/>
                <w:sz w:val="20"/>
                <w:szCs w:val="20"/>
              </w:rPr>
              <w:t>lásd P_01.02. tábla 190. sor</w:t>
            </w:r>
          </w:p>
        </w:tc>
      </w:tr>
      <w:tr w:rsidR="00623296" w:rsidRPr="00191B6F" w14:paraId="4A4C6335" w14:textId="77777777" w:rsidTr="00960BA9">
        <w:tc>
          <w:tcPr>
            <w:tcW w:w="959" w:type="dxa"/>
            <w:shd w:val="clear" w:color="auto" w:fill="auto"/>
            <w:tcMar>
              <w:top w:w="85" w:type="dxa"/>
            </w:tcMar>
            <w:vAlign w:val="center"/>
          </w:tcPr>
          <w:p w14:paraId="489E9955" w14:textId="69D82AF9" w:rsidR="00623296" w:rsidRDefault="00623296" w:rsidP="00623296">
            <w:pPr>
              <w:contextualSpacing/>
              <w:rPr>
                <w:rFonts w:ascii="Arial" w:hAnsi="Arial" w:cs="Arial"/>
                <w:sz w:val="20"/>
                <w:szCs w:val="20"/>
              </w:rPr>
            </w:pPr>
            <w:r>
              <w:rPr>
                <w:rFonts w:ascii="Arial" w:hAnsi="Arial" w:cs="Arial"/>
                <w:sz w:val="20"/>
                <w:szCs w:val="20"/>
              </w:rPr>
              <w:t>120</w:t>
            </w:r>
          </w:p>
        </w:tc>
        <w:tc>
          <w:tcPr>
            <w:tcW w:w="1276" w:type="dxa"/>
            <w:vAlign w:val="center"/>
          </w:tcPr>
          <w:p w14:paraId="076D3C5B" w14:textId="0EE50968" w:rsidR="00623296" w:rsidRDefault="00623296" w:rsidP="00623296">
            <w:pPr>
              <w:contextualSpacing/>
              <w:rPr>
                <w:rFonts w:ascii="Arial" w:hAnsi="Arial" w:cs="Arial"/>
                <w:sz w:val="20"/>
                <w:szCs w:val="20"/>
              </w:rPr>
            </w:pPr>
            <w:r>
              <w:rPr>
                <w:rFonts w:ascii="Arial" w:hAnsi="Arial" w:cs="Arial"/>
                <w:sz w:val="20"/>
                <w:szCs w:val="20"/>
              </w:rPr>
              <w:t>1.8.1.1.</w:t>
            </w:r>
          </w:p>
        </w:tc>
        <w:tc>
          <w:tcPr>
            <w:tcW w:w="2976" w:type="dxa"/>
            <w:shd w:val="clear" w:color="auto" w:fill="auto"/>
            <w:tcMar>
              <w:top w:w="85" w:type="dxa"/>
            </w:tcMar>
            <w:vAlign w:val="center"/>
          </w:tcPr>
          <w:p w14:paraId="04B126CF" w14:textId="764B60DF" w:rsidR="00623296" w:rsidRDefault="00623296" w:rsidP="00623296">
            <w:pPr>
              <w:contextualSpacing/>
              <w:rPr>
                <w:rFonts w:ascii="Arial" w:hAnsi="Arial" w:cs="Arial"/>
                <w:sz w:val="20"/>
                <w:szCs w:val="20"/>
              </w:rPr>
            </w:pPr>
            <w:r w:rsidRPr="002E168E">
              <w:rPr>
                <w:rFonts w:ascii="Arial" w:hAnsi="Arial" w:cs="Arial"/>
                <w:sz w:val="20"/>
                <w:szCs w:val="20"/>
              </w:rPr>
              <w:t>Kiegészítő alapvető tőkeinstrumentumok</w:t>
            </w:r>
          </w:p>
        </w:tc>
        <w:tc>
          <w:tcPr>
            <w:tcW w:w="4253" w:type="dxa"/>
            <w:shd w:val="clear" w:color="auto" w:fill="auto"/>
            <w:tcMar>
              <w:top w:w="85" w:type="dxa"/>
            </w:tcMar>
            <w:vAlign w:val="center"/>
          </w:tcPr>
          <w:p w14:paraId="1B2A8C13" w14:textId="3814FD50" w:rsidR="00623296" w:rsidRDefault="007259F3" w:rsidP="00623296">
            <w:pPr>
              <w:contextualSpacing/>
              <w:rPr>
                <w:rFonts w:ascii="Arial" w:hAnsi="Arial" w:cs="Arial"/>
                <w:sz w:val="20"/>
                <w:szCs w:val="20"/>
              </w:rPr>
            </w:pPr>
            <w:r>
              <w:rPr>
                <w:rFonts w:ascii="Arial" w:hAnsi="Arial" w:cs="Arial"/>
                <w:sz w:val="20"/>
                <w:szCs w:val="20"/>
              </w:rPr>
              <w:t>lásd P_01.02. tábla 191. sor</w:t>
            </w:r>
          </w:p>
        </w:tc>
      </w:tr>
      <w:tr w:rsidR="00623296" w:rsidRPr="00191B6F" w14:paraId="0713C73D" w14:textId="77777777" w:rsidTr="00960BA9">
        <w:tc>
          <w:tcPr>
            <w:tcW w:w="959" w:type="dxa"/>
            <w:shd w:val="clear" w:color="auto" w:fill="auto"/>
            <w:tcMar>
              <w:top w:w="85" w:type="dxa"/>
            </w:tcMar>
            <w:vAlign w:val="center"/>
          </w:tcPr>
          <w:p w14:paraId="521DCA43" w14:textId="5E05B38B" w:rsidR="00623296" w:rsidRDefault="00623296" w:rsidP="00623296">
            <w:pPr>
              <w:contextualSpacing/>
              <w:rPr>
                <w:rFonts w:ascii="Arial" w:hAnsi="Arial" w:cs="Arial"/>
                <w:sz w:val="20"/>
                <w:szCs w:val="20"/>
              </w:rPr>
            </w:pPr>
            <w:r>
              <w:rPr>
                <w:rFonts w:ascii="Arial" w:hAnsi="Arial" w:cs="Arial"/>
                <w:sz w:val="20"/>
                <w:szCs w:val="20"/>
              </w:rPr>
              <w:t>130</w:t>
            </w:r>
          </w:p>
        </w:tc>
        <w:tc>
          <w:tcPr>
            <w:tcW w:w="1276" w:type="dxa"/>
            <w:vAlign w:val="center"/>
          </w:tcPr>
          <w:p w14:paraId="5BE53F0F" w14:textId="2BE89453" w:rsidR="00623296" w:rsidRDefault="00623296" w:rsidP="00623296">
            <w:pPr>
              <w:contextualSpacing/>
              <w:rPr>
                <w:rFonts w:ascii="Arial" w:hAnsi="Arial" w:cs="Arial"/>
                <w:sz w:val="20"/>
                <w:szCs w:val="20"/>
              </w:rPr>
            </w:pPr>
            <w:r>
              <w:rPr>
                <w:rFonts w:ascii="Arial" w:hAnsi="Arial" w:cs="Arial"/>
                <w:sz w:val="20"/>
                <w:szCs w:val="20"/>
              </w:rPr>
              <w:t>1.8.1.2.</w:t>
            </w:r>
          </w:p>
        </w:tc>
        <w:tc>
          <w:tcPr>
            <w:tcW w:w="2976" w:type="dxa"/>
            <w:shd w:val="clear" w:color="auto" w:fill="auto"/>
            <w:tcMar>
              <w:top w:w="85" w:type="dxa"/>
            </w:tcMar>
            <w:vAlign w:val="center"/>
          </w:tcPr>
          <w:p w14:paraId="04B110AC" w14:textId="776320D8" w:rsidR="00623296" w:rsidRDefault="00623296" w:rsidP="00623296">
            <w:pPr>
              <w:contextualSpacing/>
              <w:rPr>
                <w:rFonts w:ascii="Arial" w:hAnsi="Arial" w:cs="Arial"/>
                <w:sz w:val="20"/>
                <w:szCs w:val="20"/>
              </w:rPr>
            </w:pPr>
            <w:r w:rsidRPr="002E168E">
              <w:rPr>
                <w:rFonts w:ascii="Arial" w:hAnsi="Arial" w:cs="Arial"/>
                <w:sz w:val="20"/>
                <w:szCs w:val="20"/>
              </w:rPr>
              <w:t>Járulékos tőkeinstrumentumok</w:t>
            </w:r>
          </w:p>
        </w:tc>
        <w:tc>
          <w:tcPr>
            <w:tcW w:w="4253" w:type="dxa"/>
            <w:shd w:val="clear" w:color="auto" w:fill="auto"/>
            <w:tcMar>
              <w:top w:w="85" w:type="dxa"/>
            </w:tcMar>
            <w:vAlign w:val="center"/>
          </w:tcPr>
          <w:p w14:paraId="17D95161" w14:textId="6D457233" w:rsidR="00623296" w:rsidRDefault="007259F3" w:rsidP="00623296">
            <w:pPr>
              <w:contextualSpacing/>
              <w:rPr>
                <w:rFonts w:ascii="Arial" w:hAnsi="Arial" w:cs="Arial"/>
                <w:sz w:val="20"/>
                <w:szCs w:val="20"/>
              </w:rPr>
            </w:pPr>
            <w:r>
              <w:rPr>
                <w:rFonts w:ascii="Arial" w:hAnsi="Arial" w:cs="Arial"/>
                <w:sz w:val="20"/>
                <w:szCs w:val="20"/>
              </w:rPr>
              <w:t>lásd P_01.02. tábla 192. sor</w:t>
            </w:r>
          </w:p>
        </w:tc>
      </w:tr>
      <w:tr w:rsidR="00623296" w:rsidRPr="00191B6F" w14:paraId="19F77090" w14:textId="77777777" w:rsidTr="00960BA9">
        <w:tc>
          <w:tcPr>
            <w:tcW w:w="959" w:type="dxa"/>
            <w:shd w:val="clear" w:color="auto" w:fill="auto"/>
            <w:tcMar>
              <w:top w:w="85" w:type="dxa"/>
            </w:tcMar>
            <w:vAlign w:val="center"/>
          </w:tcPr>
          <w:p w14:paraId="1CCF3033" w14:textId="24823B02" w:rsidR="00623296" w:rsidRDefault="00623296" w:rsidP="00623296">
            <w:pPr>
              <w:contextualSpacing/>
              <w:rPr>
                <w:rFonts w:ascii="Arial" w:hAnsi="Arial" w:cs="Arial"/>
                <w:sz w:val="20"/>
                <w:szCs w:val="20"/>
              </w:rPr>
            </w:pPr>
            <w:r>
              <w:rPr>
                <w:rFonts w:ascii="Arial" w:hAnsi="Arial" w:cs="Arial"/>
                <w:sz w:val="20"/>
                <w:szCs w:val="20"/>
              </w:rPr>
              <w:t>140</w:t>
            </w:r>
          </w:p>
        </w:tc>
        <w:tc>
          <w:tcPr>
            <w:tcW w:w="1276" w:type="dxa"/>
            <w:vAlign w:val="center"/>
          </w:tcPr>
          <w:p w14:paraId="5378E17A" w14:textId="742D79AB" w:rsidR="00623296" w:rsidRDefault="00623296" w:rsidP="00623296">
            <w:pPr>
              <w:contextualSpacing/>
              <w:rPr>
                <w:rFonts w:ascii="Arial" w:hAnsi="Arial" w:cs="Arial"/>
                <w:sz w:val="20"/>
                <w:szCs w:val="20"/>
              </w:rPr>
            </w:pPr>
            <w:r>
              <w:rPr>
                <w:rFonts w:ascii="Arial" w:hAnsi="Arial" w:cs="Arial"/>
                <w:sz w:val="20"/>
                <w:szCs w:val="20"/>
              </w:rPr>
              <w:t>1.8.1.3.</w:t>
            </w:r>
          </w:p>
        </w:tc>
        <w:tc>
          <w:tcPr>
            <w:tcW w:w="2976" w:type="dxa"/>
            <w:shd w:val="clear" w:color="auto" w:fill="auto"/>
            <w:tcMar>
              <w:top w:w="85" w:type="dxa"/>
            </w:tcMar>
            <w:vAlign w:val="center"/>
          </w:tcPr>
          <w:p w14:paraId="5F6EF410" w14:textId="4FDD9801" w:rsidR="00623296" w:rsidRDefault="00623296" w:rsidP="00623296">
            <w:pPr>
              <w:contextualSpacing/>
              <w:rPr>
                <w:rFonts w:ascii="Arial" w:hAnsi="Arial" w:cs="Arial"/>
                <w:sz w:val="20"/>
                <w:szCs w:val="20"/>
              </w:rPr>
            </w:pPr>
            <w:r w:rsidRPr="002E168E">
              <w:rPr>
                <w:rFonts w:ascii="Arial" w:hAnsi="Arial" w:cs="Arial"/>
                <w:sz w:val="20"/>
                <w:szCs w:val="20"/>
              </w:rPr>
              <w:t>Alárendelt instrumentumok (már nem T1 vagy T2)</w:t>
            </w:r>
          </w:p>
        </w:tc>
        <w:tc>
          <w:tcPr>
            <w:tcW w:w="4253" w:type="dxa"/>
            <w:shd w:val="clear" w:color="auto" w:fill="auto"/>
            <w:tcMar>
              <w:top w:w="85" w:type="dxa"/>
            </w:tcMar>
            <w:vAlign w:val="center"/>
          </w:tcPr>
          <w:p w14:paraId="3E95F57C" w14:textId="1EC563B9" w:rsidR="00623296" w:rsidRDefault="007259F3" w:rsidP="00623296">
            <w:pPr>
              <w:contextualSpacing/>
              <w:rPr>
                <w:rFonts w:ascii="Arial" w:hAnsi="Arial" w:cs="Arial"/>
                <w:sz w:val="20"/>
                <w:szCs w:val="20"/>
              </w:rPr>
            </w:pPr>
            <w:r>
              <w:rPr>
                <w:rFonts w:ascii="Arial" w:hAnsi="Arial" w:cs="Arial"/>
                <w:sz w:val="20"/>
                <w:szCs w:val="20"/>
              </w:rPr>
              <w:t>lásd P_01.02. tábla 193. sor</w:t>
            </w:r>
          </w:p>
        </w:tc>
      </w:tr>
      <w:tr w:rsidR="00623296" w:rsidRPr="00191B6F" w14:paraId="4D19EECB" w14:textId="77777777" w:rsidTr="00960BA9">
        <w:tc>
          <w:tcPr>
            <w:tcW w:w="959" w:type="dxa"/>
            <w:shd w:val="clear" w:color="auto" w:fill="auto"/>
            <w:tcMar>
              <w:top w:w="85" w:type="dxa"/>
            </w:tcMar>
            <w:vAlign w:val="center"/>
          </w:tcPr>
          <w:p w14:paraId="587B9850" w14:textId="73BE5C87" w:rsidR="00623296" w:rsidRDefault="00623296" w:rsidP="00623296">
            <w:pPr>
              <w:contextualSpacing/>
              <w:rPr>
                <w:rFonts w:ascii="Arial" w:hAnsi="Arial" w:cs="Arial"/>
                <w:sz w:val="20"/>
                <w:szCs w:val="20"/>
              </w:rPr>
            </w:pPr>
            <w:r>
              <w:rPr>
                <w:rFonts w:ascii="Arial" w:hAnsi="Arial" w:cs="Arial"/>
                <w:sz w:val="20"/>
                <w:szCs w:val="20"/>
              </w:rPr>
              <w:t>150</w:t>
            </w:r>
          </w:p>
        </w:tc>
        <w:tc>
          <w:tcPr>
            <w:tcW w:w="1276" w:type="dxa"/>
            <w:vAlign w:val="center"/>
          </w:tcPr>
          <w:p w14:paraId="188F26CE" w14:textId="11A15373" w:rsidR="00623296" w:rsidRDefault="00623296" w:rsidP="00623296">
            <w:pPr>
              <w:contextualSpacing/>
              <w:rPr>
                <w:rFonts w:ascii="Arial" w:hAnsi="Arial" w:cs="Arial"/>
                <w:sz w:val="20"/>
                <w:szCs w:val="20"/>
              </w:rPr>
            </w:pPr>
            <w:r>
              <w:rPr>
                <w:rFonts w:ascii="Arial" w:hAnsi="Arial" w:cs="Arial"/>
                <w:sz w:val="20"/>
                <w:szCs w:val="20"/>
              </w:rPr>
              <w:t>1.8.1.4.</w:t>
            </w:r>
          </w:p>
        </w:tc>
        <w:tc>
          <w:tcPr>
            <w:tcW w:w="2976" w:type="dxa"/>
            <w:shd w:val="clear" w:color="auto" w:fill="auto"/>
            <w:tcMar>
              <w:top w:w="85" w:type="dxa"/>
            </w:tcMar>
            <w:vAlign w:val="center"/>
          </w:tcPr>
          <w:p w14:paraId="46D07C56" w14:textId="73E3B3FC" w:rsidR="00623296" w:rsidRDefault="00623296" w:rsidP="00623296">
            <w:pPr>
              <w:contextualSpacing/>
              <w:rPr>
                <w:rFonts w:ascii="Arial" w:hAnsi="Arial" w:cs="Arial"/>
                <w:sz w:val="20"/>
                <w:szCs w:val="20"/>
              </w:rPr>
            </w:pPr>
            <w:r w:rsidRPr="002E168E">
              <w:rPr>
                <w:rFonts w:ascii="Arial" w:hAnsi="Arial" w:cs="Arial"/>
                <w:sz w:val="20"/>
                <w:szCs w:val="20"/>
              </w:rPr>
              <w:t>Előresorolt, nem elsőbbségi</w:t>
            </w:r>
          </w:p>
        </w:tc>
        <w:tc>
          <w:tcPr>
            <w:tcW w:w="4253" w:type="dxa"/>
            <w:shd w:val="clear" w:color="auto" w:fill="auto"/>
            <w:tcMar>
              <w:top w:w="85" w:type="dxa"/>
            </w:tcMar>
            <w:vAlign w:val="center"/>
          </w:tcPr>
          <w:p w14:paraId="473EBE5E" w14:textId="3AFE0A94" w:rsidR="00623296" w:rsidRDefault="007259F3" w:rsidP="00623296">
            <w:pPr>
              <w:contextualSpacing/>
              <w:rPr>
                <w:rFonts w:ascii="Arial" w:hAnsi="Arial" w:cs="Arial"/>
                <w:sz w:val="20"/>
                <w:szCs w:val="20"/>
              </w:rPr>
            </w:pPr>
            <w:r>
              <w:rPr>
                <w:rFonts w:ascii="Arial" w:hAnsi="Arial" w:cs="Arial"/>
                <w:sz w:val="20"/>
                <w:szCs w:val="20"/>
              </w:rPr>
              <w:t>lásd P_01.02. tábla 194. sor</w:t>
            </w:r>
          </w:p>
        </w:tc>
      </w:tr>
      <w:tr w:rsidR="00623296" w:rsidRPr="00191B6F" w14:paraId="05EDCF1B" w14:textId="77777777" w:rsidTr="00960BA9">
        <w:tc>
          <w:tcPr>
            <w:tcW w:w="959" w:type="dxa"/>
            <w:shd w:val="clear" w:color="auto" w:fill="auto"/>
            <w:tcMar>
              <w:top w:w="85" w:type="dxa"/>
            </w:tcMar>
            <w:vAlign w:val="center"/>
          </w:tcPr>
          <w:p w14:paraId="76EAC8FF" w14:textId="14ECAE5A" w:rsidR="00623296" w:rsidRDefault="00623296" w:rsidP="00623296">
            <w:pPr>
              <w:contextualSpacing/>
              <w:rPr>
                <w:rFonts w:ascii="Arial" w:hAnsi="Arial" w:cs="Arial"/>
                <w:sz w:val="20"/>
                <w:szCs w:val="20"/>
              </w:rPr>
            </w:pPr>
            <w:r>
              <w:rPr>
                <w:rFonts w:ascii="Arial" w:hAnsi="Arial" w:cs="Arial"/>
                <w:sz w:val="20"/>
                <w:szCs w:val="20"/>
              </w:rPr>
              <w:t>160</w:t>
            </w:r>
          </w:p>
        </w:tc>
        <w:tc>
          <w:tcPr>
            <w:tcW w:w="1276" w:type="dxa"/>
            <w:vAlign w:val="center"/>
          </w:tcPr>
          <w:p w14:paraId="282DC404" w14:textId="708AD817" w:rsidR="00623296" w:rsidRDefault="00623296" w:rsidP="00623296">
            <w:pPr>
              <w:contextualSpacing/>
              <w:rPr>
                <w:rFonts w:ascii="Arial" w:hAnsi="Arial" w:cs="Arial"/>
                <w:sz w:val="20"/>
                <w:szCs w:val="20"/>
              </w:rPr>
            </w:pPr>
            <w:r>
              <w:rPr>
                <w:rFonts w:ascii="Arial" w:hAnsi="Arial" w:cs="Arial"/>
                <w:sz w:val="20"/>
                <w:szCs w:val="20"/>
              </w:rPr>
              <w:t>1.8.1.5.</w:t>
            </w:r>
          </w:p>
        </w:tc>
        <w:tc>
          <w:tcPr>
            <w:tcW w:w="2976" w:type="dxa"/>
            <w:shd w:val="clear" w:color="auto" w:fill="auto"/>
            <w:tcMar>
              <w:top w:w="85" w:type="dxa"/>
            </w:tcMar>
            <w:vAlign w:val="center"/>
          </w:tcPr>
          <w:p w14:paraId="7EC59E26" w14:textId="0E77F195" w:rsidR="00623296" w:rsidRDefault="00623296" w:rsidP="00623296">
            <w:pPr>
              <w:contextualSpacing/>
              <w:rPr>
                <w:rFonts w:ascii="Arial" w:hAnsi="Arial" w:cs="Arial"/>
                <w:sz w:val="20"/>
                <w:szCs w:val="20"/>
              </w:rPr>
            </w:pPr>
            <w:r w:rsidRPr="002E168E">
              <w:rPr>
                <w:rFonts w:ascii="Arial" w:hAnsi="Arial" w:cs="Arial"/>
                <w:sz w:val="20"/>
                <w:szCs w:val="20"/>
              </w:rPr>
              <w:t>Előresorolt fedezetlen (HoldCo)</w:t>
            </w:r>
          </w:p>
        </w:tc>
        <w:tc>
          <w:tcPr>
            <w:tcW w:w="4253" w:type="dxa"/>
            <w:shd w:val="clear" w:color="auto" w:fill="auto"/>
            <w:tcMar>
              <w:top w:w="85" w:type="dxa"/>
            </w:tcMar>
            <w:vAlign w:val="center"/>
          </w:tcPr>
          <w:p w14:paraId="7E5109B1" w14:textId="00A53B21" w:rsidR="00623296" w:rsidRDefault="007259F3" w:rsidP="00623296">
            <w:pPr>
              <w:contextualSpacing/>
              <w:rPr>
                <w:rFonts w:ascii="Arial" w:hAnsi="Arial" w:cs="Arial"/>
                <w:sz w:val="20"/>
                <w:szCs w:val="20"/>
              </w:rPr>
            </w:pPr>
            <w:r>
              <w:rPr>
                <w:rFonts w:ascii="Arial" w:hAnsi="Arial" w:cs="Arial"/>
                <w:sz w:val="20"/>
                <w:szCs w:val="20"/>
              </w:rPr>
              <w:t>lásd P_01.02. tábla 195. sor</w:t>
            </w:r>
          </w:p>
        </w:tc>
      </w:tr>
      <w:tr w:rsidR="00623296" w:rsidRPr="00191B6F" w14:paraId="286F7A4F" w14:textId="77777777" w:rsidTr="00960BA9">
        <w:tc>
          <w:tcPr>
            <w:tcW w:w="959" w:type="dxa"/>
            <w:shd w:val="clear" w:color="auto" w:fill="auto"/>
            <w:tcMar>
              <w:top w:w="85" w:type="dxa"/>
            </w:tcMar>
            <w:vAlign w:val="center"/>
          </w:tcPr>
          <w:p w14:paraId="0F2EDF68" w14:textId="063E0E3C" w:rsidR="00623296" w:rsidRDefault="00623296" w:rsidP="00623296">
            <w:pPr>
              <w:contextualSpacing/>
              <w:rPr>
                <w:rFonts w:ascii="Arial" w:hAnsi="Arial" w:cs="Arial"/>
                <w:sz w:val="20"/>
                <w:szCs w:val="20"/>
              </w:rPr>
            </w:pPr>
            <w:r>
              <w:rPr>
                <w:rFonts w:ascii="Arial" w:hAnsi="Arial" w:cs="Arial"/>
                <w:sz w:val="20"/>
                <w:szCs w:val="20"/>
              </w:rPr>
              <w:t>170</w:t>
            </w:r>
          </w:p>
        </w:tc>
        <w:tc>
          <w:tcPr>
            <w:tcW w:w="1276" w:type="dxa"/>
            <w:vAlign w:val="center"/>
          </w:tcPr>
          <w:p w14:paraId="143D4CC9" w14:textId="48232899" w:rsidR="00623296" w:rsidRDefault="00623296" w:rsidP="00623296">
            <w:pPr>
              <w:contextualSpacing/>
              <w:rPr>
                <w:rFonts w:ascii="Arial" w:hAnsi="Arial" w:cs="Arial"/>
                <w:sz w:val="20"/>
                <w:szCs w:val="20"/>
              </w:rPr>
            </w:pPr>
            <w:r>
              <w:rPr>
                <w:rFonts w:ascii="Arial" w:hAnsi="Arial" w:cs="Arial"/>
                <w:sz w:val="20"/>
                <w:szCs w:val="20"/>
              </w:rPr>
              <w:t>1.8.1.6.</w:t>
            </w:r>
          </w:p>
        </w:tc>
        <w:tc>
          <w:tcPr>
            <w:tcW w:w="2976" w:type="dxa"/>
            <w:shd w:val="clear" w:color="auto" w:fill="auto"/>
            <w:tcMar>
              <w:top w:w="85" w:type="dxa"/>
            </w:tcMar>
            <w:vAlign w:val="center"/>
          </w:tcPr>
          <w:p w14:paraId="0EB770BF" w14:textId="7BB3702E" w:rsidR="00623296" w:rsidRDefault="000A2582" w:rsidP="00623296">
            <w:pPr>
              <w:contextualSpacing/>
              <w:rPr>
                <w:rFonts w:ascii="Arial" w:hAnsi="Arial" w:cs="Arial"/>
                <w:sz w:val="20"/>
                <w:szCs w:val="20"/>
              </w:rPr>
            </w:pPr>
            <w:r>
              <w:rPr>
                <w:rFonts w:ascii="Arial" w:hAnsi="Arial" w:cs="Arial"/>
                <w:sz w:val="20"/>
                <w:szCs w:val="20"/>
              </w:rPr>
              <w:t xml:space="preserve">Egyéb </w:t>
            </w:r>
            <w:r w:rsidR="00623296" w:rsidRPr="002E168E">
              <w:rPr>
                <w:rFonts w:ascii="Arial" w:hAnsi="Arial" w:cs="Arial"/>
                <w:sz w:val="20"/>
                <w:szCs w:val="20"/>
              </w:rPr>
              <w:t>hosszú lejáratú, fedezetlen instrumentumok</w:t>
            </w:r>
          </w:p>
        </w:tc>
        <w:tc>
          <w:tcPr>
            <w:tcW w:w="4253" w:type="dxa"/>
            <w:shd w:val="clear" w:color="auto" w:fill="auto"/>
            <w:tcMar>
              <w:top w:w="85" w:type="dxa"/>
            </w:tcMar>
            <w:vAlign w:val="center"/>
          </w:tcPr>
          <w:p w14:paraId="2E6D0BEE" w14:textId="66E2C4E6" w:rsidR="00623296" w:rsidRDefault="007259F3" w:rsidP="00623296">
            <w:pPr>
              <w:contextualSpacing/>
              <w:rPr>
                <w:rFonts w:ascii="Arial" w:hAnsi="Arial" w:cs="Arial"/>
                <w:sz w:val="20"/>
                <w:szCs w:val="20"/>
              </w:rPr>
            </w:pPr>
            <w:r>
              <w:rPr>
                <w:rFonts w:ascii="Arial" w:hAnsi="Arial" w:cs="Arial"/>
                <w:sz w:val="20"/>
                <w:szCs w:val="20"/>
              </w:rPr>
              <w:t>lásd P_01.02. tábla 196. sor</w:t>
            </w:r>
          </w:p>
        </w:tc>
      </w:tr>
      <w:tr w:rsidR="00623296" w:rsidRPr="00191B6F" w14:paraId="0C6BB285" w14:textId="77777777" w:rsidTr="00960BA9">
        <w:tc>
          <w:tcPr>
            <w:tcW w:w="959" w:type="dxa"/>
            <w:shd w:val="clear" w:color="auto" w:fill="auto"/>
            <w:tcMar>
              <w:top w:w="85" w:type="dxa"/>
            </w:tcMar>
            <w:vAlign w:val="center"/>
          </w:tcPr>
          <w:p w14:paraId="57B4022A" w14:textId="66CC5BDB" w:rsidR="00623296" w:rsidRDefault="00623296" w:rsidP="00623296">
            <w:pPr>
              <w:contextualSpacing/>
              <w:rPr>
                <w:rFonts w:ascii="Arial" w:hAnsi="Arial" w:cs="Arial"/>
                <w:sz w:val="20"/>
                <w:szCs w:val="20"/>
              </w:rPr>
            </w:pPr>
            <w:r>
              <w:rPr>
                <w:rFonts w:ascii="Arial" w:hAnsi="Arial" w:cs="Arial"/>
                <w:sz w:val="20"/>
                <w:szCs w:val="20"/>
              </w:rPr>
              <w:t>180</w:t>
            </w:r>
          </w:p>
        </w:tc>
        <w:tc>
          <w:tcPr>
            <w:tcW w:w="1276" w:type="dxa"/>
            <w:vAlign w:val="center"/>
          </w:tcPr>
          <w:p w14:paraId="2FC3DA74" w14:textId="3EC6943E" w:rsidR="00623296" w:rsidRDefault="00623296" w:rsidP="00623296">
            <w:pPr>
              <w:contextualSpacing/>
              <w:rPr>
                <w:rFonts w:ascii="Arial" w:hAnsi="Arial" w:cs="Arial"/>
                <w:sz w:val="20"/>
                <w:szCs w:val="20"/>
              </w:rPr>
            </w:pPr>
            <w:r>
              <w:rPr>
                <w:rFonts w:ascii="Arial" w:hAnsi="Arial" w:cs="Arial"/>
                <w:sz w:val="20"/>
                <w:szCs w:val="20"/>
              </w:rPr>
              <w:t>1.8.2.</w:t>
            </w:r>
          </w:p>
        </w:tc>
        <w:tc>
          <w:tcPr>
            <w:tcW w:w="2976" w:type="dxa"/>
            <w:shd w:val="clear" w:color="auto" w:fill="auto"/>
            <w:tcMar>
              <w:top w:w="85" w:type="dxa"/>
            </w:tcMar>
            <w:vAlign w:val="center"/>
          </w:tcPr>
          <w:p w14:paraId="07A05BC7" w14:textId="7DB765DD" w:rsidR="00623296" w:rsidRDefault="006C28E5" w:rsidP="00623296">
            <w:pPr>
              <w:contextualSpacing/>
              <w:rPr>
                <w:rFonts w:ascii="Arial" w:hAnsi="Arial" w:cs="Arial"/>
                <w:sz w:val="20"/>
                <w:szCs w:val="20"/>
              </w:rPr>
            </w:pPr>
            <w:r>
              <w:rPr>
                <w:rFonts w:ascii="Arial" w:hAnsi="Arial" w:cs="Arial"/>
                <w:sz w:val="20"/>
                <w:szCs w:val="20"/>
              </w:rPr>
              <w:t>Kibocsátott h</w:t>
            </w:r>
            <w:r w:rsidR="00623296" w:rsidRPr="002E168E">
              <w:rPr>
                <w:rFonts w:ascii="Arial" w:hAnsi="Arial" w:cs="Arial"/>
                <w:sz w:val="20"/>
                <w:szCs w:val="20"/>
              </w:rPr>
              <w:t>osszú lejáratú, fedezett, hitelviszonyt megtestesítő értékpapírok összesen</w:t>
            </w:r>
          </w:p>
        </w:tc>
        <w:tc>
          <w:tcPr>
            <w:tcW w:w="4253" w:type="dxa"/>
            <w:shd w:val="clear" w:color="auto" w:fill="auto"/>
            <w:tcMar>
              <w:top w:w="85" w:type="dxa"/>
            </w:tcMar>
            <w:vAlign w:val="center"/>
          </w:tcPr>
          <w:p w14:paraId="2DED8748" w14:textId="7E2EFAD7" w:rsidR="00623296" w:rsidRDefault="007259F3" w:rsidP="00623296">
            <w:pPr>
              <w:contextualSpacing/>
              <w:rPr>
                <w:rFonts w:ascii="Arial" w:hAnsi="Arial" w:cs="Arial"/>
                <w:sz w:val="20"/>
                <w:szCs w:val="20"/>
              </w:rPr>
            </w:pPr>
            <w:r>
              <w:rPr>
                <w:rFonts w:ascii="Arial" w:hAnsi="Arial" w:cs="Arial"/>
                <w:sz w:val="20"/>
                <w:szCs w:val="20"/>
              </w:rPr>
              <w:t>lásd P_01.02. tábla 220. sor</w:t>
            </w:r>
          </w:p>
        </w:tc>
      </w:tr>
      <w:tr w:rsidR="00623296" w:rsidRPr="00191B6F" w14:paraId="663036EE" w14:textId="77777777" w:rsidTr="00960BA9">
        <w:tc>
          <w:tcPr>
            <w:tcW w:w="959" w:type="dxa"/>
            <w:shd w:val="clear" w:color="auto" w:fill="auto"/>
            <w:tcMar>
              <w:top w:w="85" w:type="dxa"/>
            </w:tcMar>
            <w:vAlign w:val="center"/>
          </w:tcPr>
          <w:p w14:paraId="6FA6AA9C" w14:textId="4C479816" w:rsidR="00623296" w:rsidRDefault="00623296" w:rsidP="00623296">
            <w:pPr>
              <w:contextualSpacing/>
              <w:rPr>
                <w:rFonts w:ascii="Arial" w:hAnsi="Arial" w:cs="Arial"/>
                <w:sz w:val="20"/>
                <w:szCs w:val="20"/>
              </w:rPr>
            </w:pPr>
            <w:r>
              <w:rPr>
                <w:rFonts w:ascii="Arial" w:hAnsi="Arial" w:cs="Arial"/>
                <w:sz w:val="20"/>
                <w:szCs w:val="20"/>
              </w:rPr>
              <w:t>190</w:t>
            </w:r>
          </w:p>
        </w:tc>
        <w:tc>
          <w:tcPr>
            <w:tcW w:w="1276" w:type="dxa"/>
            <w:vAlign w:val="center"/>
          </w:tcPr>
          <w:p w14:paraId="67EC21C0" w14:textId="0B25E83D" w:rsidR="00623296" w:rsidRDefault="00623296" w:rsidP="00623296">
            <w:pPr>
              <w:contextualSpacing/>
              <w:rPr>
                <w:rFonts w:ascii="Arial" w:hAnsi="Arial" w:cs="Arial"/>
                <w:sz w:val="20"/>
                <w:szCs w:val="20"/>
              </w:rPr>
            </w:pPr>
            <w:r>
              <w:rPr>
                <w:rFonts w:ascii="Arial" w:hAnsi="Arial" w:cs="Arial"/>
                <w:sz w:val="20"/>
                <w:szCs w:val="20"/>
              </w:rPr>
              <w:t>1.8.2.1.</w:t>
            </w:r>
          </w:p>
        </w:tc>
        <w:tc>
          <w:tcPr>
            <w:tcW w:w="2976" w:type="dxa"/>
            <w:shd w:val="clear" w:color="auto" w:fill="auto"/>
            <w:tcMar>
              <w:top w:w="85" w:type="dxa"/>
            </w:tcMar>
            <w:vAlign w:val="center"/>
          </w:tcPr>
          <w:p w14:paraId="68D79EFC" w14:textId="6DBA45D2" w:rsidR="00623296" w:rsidRDefault="00623296" w:rsidP="00623296">
            <w:pPr>
              <w:contextualSpacing/>
              <w:rPr>
                <w:rFonts w:ascii="Arial" w:hAnsi="Arial" w:cs="Arial"/>
                <w:sz w:val="20"/>
                <w:szCs w:val="20"/>
              </w:rPr>
            </w:pPr>
            <w:r w:rsidRPr="002E168E">
              <w:rPr>
                <w:rFonts w:ascii="Arial" w:hAnsi="Arial" w:cs="Arial"/>
                <w:sz w:val="20"/>
                <w:szCs w:val="20"/>
              </w:rPr>
              <w:t>Fedezett kötvények</w:t>
            </w:r>
          </w:p>
        </w:tc>
        <w:tc>
          <w:tcPr>
            <w:tcW w:w="4253" w:type="dxa"/>
            <w:shd w:val="clear" w:color="auto" w:fill="auto"/>
            <w:tcMar>
              <w:top w:w="85" w:type="dxa"/>
            </w:tcMar>
            <w:vAlign w:val="center"/>
          </w:tcPr>
          <w:p w14:paraId="32FB1A64" w14:textId="275FC6C8" w:rsidR="00623296" w:rsidRDefault="007259F3" w:rsidP="00623296">
            <w:pPr>
              <w:contextualSpacing/>
              <w:rPr>
                <w:rFonts w:ascii="Arial" w:hAnsi="Arial" w:cs="Arial"/>
                <w:sz w:val="20"/>
                <w:szCs w:val="20"/>
              </w:rPr>
            </w:pPr>
            <w:r>
              <w:rPr>
                <w:rFonts w:ascii="Arial" w:hAnsi="Arial" w:cs="Arial"/>
                <w:sz w:val="20"/>
                <w:szCs w:val="20"/>
              </w:rPr>
              <w:t>lásd P_01.02. tábla 250. sor</w:t>
            </w:r>
          </w:p>
        </w:tc>
      </w:tr>
      <w:tr w:rsidR="00623296" w:rsidRPr="00191B6F" w14:paraId="59683C55" w14:textId="77777777" w:rsidTr="00960BA9">
        <w:tc>
          <w:tcPr>
            <w:tcW w:w="959" w:type="dxa"/>
            <w:shd w:val="clear" w:color="auto" w:fill="auto"/>
            <w:tcMar>
              <w:top w:w="85" w:type="dxa"/>
            </w:tcMar>
            <w:vAlign w:val="center"/>
          </w:tcPr>
          <w:p w14:paraId="62B84909" w14:textId="63359AD3" w:rsidR="00623296" w:rsidRDefault="00623296" w:rsidP="00623296">
            <w:pPr>
              <w:contextualSpacing/>
              <w:rPr>
                <w:rFonts w:ascii="Arial" w:hAnsi="Arial" w:cs="Arial"/>
                <w:sz w:val="20"/>
                <w:szCs w:val="20"/>
              </w:rPr>
            </w:pPr>
            <w:r>
              <w:rPr>
                <w:rFonts w:ascii="Arial" w:hAnsi="Arial" w:cs="Arial"/>
                <w:sz w:val="20"/>
                <w:szCs w:val="20"/>
              </w:rPr>
              <w:t>200</w:t>
            </w:r>
          </w:p>
        </w:tc>
        <w:tc>
          <w:tcPr>
            <w:tcW w:w="1276" w:type="dxa"/>
            <w:vAlign w:val="center"/>
          </w:tcPr>
          <w:p w14:paraId="52D6D2C8" w14:textId="63EBFA79" w:rsidR="00623296" w:rsidRDefault="00623296" w:rsidP="00623296">
            <w:pPr>
              <w:contextualSpacing/>
              <w:rPr>
                <w:rFonts w:ascii="Arial" w:hAnsi="Arial" w:cs="Arial"/>
                <w:sz w:val="20"/>
                <w:szCs w:val="20"/>
              </w:rPr>
            </w:pPr>
            <w:r>
              <w:rPr>
                <w:rFonts w:ascii="Arial" w:hAnsi="Arial" w:cs="Arial"/>
                <w:sz w:val="20"/>
                <w:szCs w:val="20"/>
              </w:rPr>
              <w:t>1.8.2.2.</w:t>
            </w:r>
          </w:p>
        </w:tc>
        <w:tc>
          <w:tcPr>
            <w:tcW w:w="2976" w:type="dxa"/>
            <w:shd w:val="clear" w:color="auto" w:fill="auto"/>
            <w:tcMar>
              <w:top w:w="85" w:type="dxa"/>
            </w:tcMar>
            <w:vAlign w:val="center"/>
          </w:tcPr>
          <w:p w14:paraId="16612DCE" w14:textId="5F254AD8" w:rsidR="00623296" w:rsidRDefault="00623296" w:rsidP="00623296">
            <w:pPr>
              <w:contextualSpacing/>
              <w:rPr>
                <w:rFonts w:ascii="Arial" w:hAnsi="Arial" w:cs="Arial"/>
                <w:sz w:val="20"/>
                <w:szCs w:val="20"/>
              </w:rPr>
            </w:pPr>
            <w:r w:rsidRPr="002E168E">
              <w:rPr>
                <w:rFonts w:ascii="Arial" w:hAnsi="Arial" w:cs="Arial"/>
                <w:sz w:val="20"/>
                <w:szCs w:val="20"/>
              </w:rPr>
              <w:t>Eszközfedezetű értékpapírok</w:t>
            </w:r>
          </w:p>
        </w:tc>
        <w:tc>
          <w:tcPr>
            <w:tcW w:w="4253" w:type="dxa"/>
            <w:shd w:val="clear" w:color="auto" w:fill="auto"/>
            <w:tcMar>
              <w:top w:w="85" w:type="dxa"/>
            </w:tcMar>
            <w:vAlign w:val="center"/>
          </w:tcPr>
          <w:p w14:paraId="292707F0" w14:textId="0B6A73A7" w:rsidR="00623296" w:rsidRDefault="007259F3" w:rsidP="00623296">
            <w:pPr>
              <w:contextualSpacing/>
              <w:rPr>
                <w:rFonts w:ascii="Arial" w:hAnsi="Arial" w:cs="Arial"/>
                <w:sz w:val="20"/>
                <w:szCs w:val="20"/>
              </w:rPr>
            </w:pPr>
            <w:r>
              <w:rPr>
                <w:rFonts w:ascii="Arial" w:hAnsi="Arial" w:cs="Arial"/>
                <w:sz w:val="20"/>
                <w:szCs w:val="20"/>
              </w:rPr>
              <w:t>lásd P_01.02. tábla 280. sor</w:t>
            </w:r>
          </w:p>
        </w:tc>
      </w:tr>
      <w:tr w:rsidR="00623296" w:rsidRPr="00191B6F" w14:paraId="7957BE0F" w14:textId="77777777" w:rsidTr="00960BA9">
        <w:tc>
          <w:tcPr>
            <w:tcW w:w="959" w:type="dxa"/>
            <w:shd w:val="clear" w:color="auto" w:fill="auto"/>
            <w:tcMar>
              <w:top w:w="85" w:type="dxa"/>
            </w:tcMar>
            <w:vAlign w:val="center"/>
          </w:tcPr>
          <w:p w14:paraId="0EDF60EC" w14:textId="59640F21" w:rsidR="00623296" w:rsidRDefault="00623296" w:rsidP="00623296">
            <w:pPr>
              <w:contextualSpacing/>
              <w:rPr>
                <w:rFonts w:ascii="Arial" w:hAnsi="Arial" w:cs="Arial"/>
                <w:sz w:val="20"/>
                <w:szCs w:val="20"/>
              </w:rPr>
            </w:pPr>
            <w:r>
              <w:rPr>
                <w:rFonts w:ascii="Arial" w:hAnsi="Arial" w:cs="Arial"/>
                <w:sz w:val="20"/>
                <w:szCs w:val="20"/>
              </w:rPr>
              <w:t>210</w:t>
            </w:r>
          </w:p>
        </w:tc>
        <w:tc>
          <w:tcPr>
            <w:tcW w:w="1276" w:type="dxa"/>
            <w:vAlign w:val="center"/>
          </w:tcPr>
          <w:p w14:paraId="2A96019F" w14:textId="462A97A6" w:rsidR="00623296" w:rsidRDefault="00623296" w:rsidP="00623296">
            <w:pPr>
              <w:contextualSpacing/>
              <w:rPr>
                <w:rFonts w:ascii="Arial" w:hAnsi="Arial" w:cs="Arial"/>
                <w:sz w:val="20"/>
                <w:szCs w:val="20"/>
              </w:rPr>
            </w:pPr>
            <w:r>
              <w:rPr>
                <w:rFonts w:ascii="Arial" w:hAnsi="Arial" w:cs="Arial"/>
                <w:sz w:val="20"/>
                <w:szCs w:val="20"/>
              </w:rPr>
              <w:t>1.8.2.3.</w:t>
            </w:r>
          </w:p>
        </w:tc>
        <w:tc>
          <w:tcPr>
            <w:tcW w:w="2976" w:type="dxa"/>
            <w:shd w:val="clear" w:color="auto" w:fill="auto"/>
            <w:tcMar>
              <w:top w:w="85" w:type="dxa"/>
            </w:tcMar>
            <w:vAlign w:val="center"/>
          </w:tcPr>
          <w:p w14:paraId="57C8F9F7" w14:textId="25044A6F" w:rsidR="00623296" w:rsidRDefault="007259F3" w:rsidP="00623296">
            <w:pPr>
              <w:contextualSpacing/>
              <w:rPr>
                <w:rFonts w:ascii="Arial" w:hAnsi="Arial" w:cs="Arial"/>
                <w:sz w:val="20"/>
                <w:szCs w:val="20"/>
              </w:rPr>
            </w:pPr>
            <w:r>
              <w:rPr>
                <w:rFonts w:ascii="Arial" w:hAnsi="Arial" w:cs="Arial"/>
                <w:sz w:val="20"/>
                <w:szCs w:val="20"/>
              </w:rPr>
              <w:t>Egyéb</w:t>
            </w:r>
            <w:r w:rsidR="00623296" w:rsidRPr="002E168E">
              <w:rPr>
                <w:rFonts w:ascii="Arial" w:hAnsi="Arial" w:cs="Arial"/>
                <w:sz w:val="20"/>
                <w:szCs w:val="20"/>
              </w:rPr>
              <w:t xml:space="preserve"> hosszú lejáratú, fedezett, hitelviszonyt megtestesítő értékpapírok</w:t>
            </w:r>
          </w:p>
        </w:tc>
        <w:tc>
          <w:tcPr>
            <w:tcW w:w="4253" w:type="dxa"/>
            <w:shd w:val="clear" w:color="auto" w:fill="auto"/>
            <w:tcMar>
              <w:top w:w="85" w:type="dxa"/>
            </w:tcMar>
            <w:vAlign w:val="center"/>
          </w:tcPr>
          <w:p w14:paraId="542A6454" w14:textId="0E992BB2" w:rsidR="00623296" w:rsidRDefault="007259F3" w:rsidP="00623296">
            <w:pPr>
              <w:contextualSpacing/>
              <w:rPr>
                <w:rFonts w:ascii="Arial" w:hAnsi="Arial" w:cs="Arial"/>
                <w:sz w:val="20"/>
                <w:szCs w:val="20"/>
              </w:rPr>
            </w:pPr>
            <w:r>
              <w:rPr>
                <w:rFonts w:ascii="Arial" w:hAnsi="Arial" w:cs="Arial"/>
                <w:sz w:val="20"/>
                <w:szCs w:val="20"/>
              </w:rPr>
              <w:t>lásd P_01.02. tábla 310. sor</w:t>
            </w:r>
          </w:p>
        </w:tc>
      </w:tr>
    </w:tbl>
    <w:p w14:paraId="24E03B1B" w14:textId="77777777" w:rsidR="00FE6B4B" w:rsidRPr="001B098C" w:rsidRDefault="00FE6B4B" w:rsidP="00FE6B4B">
      <w:pPr>
        <w:rPr>
          <w:rFonts w:ascii="Arial" w:hAnsi="Arial" w:cs="Arial"/>
          <w:sz w:val="20"/>
          <w:szCs w:val="20"/>
        </w:rPr>
      </w:pPr>
    </w:p>
    <w:p w14:paraId="31C257C9" w14:textId="77777777" w:rsidR="00371B73" w:rsidRDefault="00371B73">
      <w:pPr>
        <w:rPr>
          <w:rFonts w:ascii="Arial" w:hAnsi="Arial" w:cs="Arial"/>
          <w:b/>
          <w:sz w:val="20"/>
          <w:szCs w:val="20"/>
        </w:rPr>
      </w:pPr>
      <w:r>
        <w:rPr>
          <w:rFonts w:ascii="Arial" w:hAnsi="Arial" w:cs="Arial"/>
          <w:b/>
          <w:sz w:val="20"/>
          <w:szCs w:val="20"/>
        </w:rPr>
        <w:br w:type="page"/>
      </w:r>
    </w:p>
    <w:p w14:paraId="49483913" w14:textId="2EC40A0D" w:rsidR="00FE6B4B" w:rsidRDefault="00FE6B4B" w:rsidP="00FE6B4B">
      <w:pPr>
        <w:rPr>
          <w:rFonts w:ascii="Arial" w:hAnsi="Arial" w:cs="Arial"/>
          <w:b/>
          <w:sz w:val="20"/>
          <w:szCs w:val="20"/>
        </w:rPr>
      </w:pPr>
      <w:r w:rsidRPr="00352BD3">
        <w:rPr>
          <w:rFonts w:ascii="Arial" w:hAnsi="Arial" w:cs="Arial"/>
          <w:b/>
          <w:sz w:val="20"/>
          <w:szCs w:val="20"/>
        </w:rPr>
        <w:lastRenderedPageBreak/>
        <w:t>A tábla oszlopai</w:t>
      </w:r>
    </w:p>
    <w:p w14:paraId="72C26591" w14:textId="77777777" w:rsidR="00FE6B4B" w:rsidRPr="00352BD3" w:rsidRDefault="00FE6B4B" w:rsidP="00FE6B4B">
      <w:pPr>
        <w:rPr>
          <w:rFonts w:ascii="Arial" w:hAnsi="Arial" w:cs="Arial"/>
          <w:b/>
          <w:sz w:val="20"/>
          <w:szCs w:val="20"/>
        </w:rPr>
      </w:pPr>
    </w:p>
    <w:tbl>
      <w:tblPr>
        <w:tblW w:w="9464" w:type="dxa"/>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Look w:val="04A0" w:firstRow="1" w:lastRow="0" w:firstColumn="1" w:lastColumn="0" w:noHBand="0" w:noVBand="1"/>
      </w:tblPr>
      <w:tblGrid>
        <w:gridCol w:w="905"/>
        <w:gridCol w:w="3456"/>
        <w:gridCol w:w="5103"/>
      </w:tblGrid>
      <w:tr w:rsidR="00FE6B4B" w:rsidRPr="00191B6F" w14:paraId="5D967701" w14:textId="77777777" w:rsidTr="00960BA9">
        <w:tc>
          <w:tcPr>
            <w:tcW w:w="905" w:type="dxa"/>
            <w:shd w:val="clear" w:color="auto" w:fill="auto"/>
            <w:tcMar>
              <w:top w:w="85" w:type="dxa"/>
            </w:tcMar>
            <w:vAlign w:val="center"/>
          </w:tcPr>
          <w:p w14:paraId="26BF5973" w14:textId="77777777" w:rsidR="00FE6B4B" w:rsidRPr="0091468E" w:rsidRDefault="00FE6B4B" w:rsidP="00D16669">
            <w:pPr>
              <w:contextualSpacing/>
              <w:rPr>
                <w:rFonts w:ascii="Arial" w:hAnsi="Arial" w:cs="Arial"/>
                <w:b/>
                <w:sz w:val="20"/>
                <w:szCs w:val="20"/>
              </w:rPr>
            </w:pPr>
            <w:r w:rsidRPr="0091468E">
              <w:rPr>
                <w:rFonts w:ascii="Arial" w:hAnsi="Arial" w:cs="Arial"/>
                <w:b/>
                <w:sz w:val="20"/>
                <w:szCs w:val="20"/>
              </w:rPr>
              <w:t>Oszlop</w:t>
            </w:r>
          </w:p>
        </w:tc>
        <w:tc>
          <w:tcPr>
            <w:tcW w:w="3456" w:type="dxa"/>
            <w:shd w:val="clear" w:color="auto" w:fill="auto"/>
            <w:tcMar>
              <w:top w:w="85" w:type="dxa"/>
            </w:tcMar>
            <w:vAlign w:val="center"/>
          </w:tcPr>
          <w:p w14:paraId="15D7484D" w14:textId="77777777" w:rsidR="00FE6B4B" w:rsidRPr="0091468E" w:rsidRDefault="00FE6B4B" w:rsidP="00D16669">
            <w:pPr>
              <w:contextualSpacing/>
              <w:rPr>
                <w:rFonts w:ascii="Arial" w:hAnsi="Arial" w:cs="Arial"/>
                <w:b/>
                <w:sz w:val="20"/>
                <w:szCs w:val="20"/>
              </w:rPr>
            </w:pPr>
            <w:r w:rsidRPr="0091468E">
              <w:rPr>
                <w:rFonts w:ascii="Arial" w:hAnsi="Arial" w:cs="Arial"/>
                <w:b/>
                <w:sz w:val="20"/>
                <w:szCs w:val="20"/>
              </w:rPr>
              <w:t>Megnevezés</w:t>
            </w:r>
          </w:p>
        </w:tc>
        <w:tc>
          <w:tcPr>
            <w:tcW w:w="5103" w:type="dxa"/>
            <w:shd w:val="clear" w:color="auto" w:fill="auto"/>
            <w:tcMar>
              <w:top w:w="85" w:type="dxa"/>
            </w:tcMar>
            <w:vAlign w:val="center"/>
          </w:tcPr>
          <w:p w14:paraId="7EFD7C4C" w14:textId="77777777" w:rsidR="00FE6B4B" w:rsidRPr="00191B6F" w:rsidRDefault="00FE6B4B" w:rsidP="00D16669">
            <w:pPr>
              <w:contextualSpacing/>
              <w:rPr>
                <w:rFonts w:ascii="Arial" w:hAnsi="Arial" w:cs="Arial"/>
                <w:sz w:val="20"/>
                <w:szCs w:val="20"/>
              </w:rPr>
            </w:pPr>
            <w:r w:rsidRPr="00191B6F">
              <w:rPr>
                <w:rFonts w:ascii="Arial" w:hAnsi="Arial" w:cs="Arial"/>
                <w:b/>
                <w:sz w:val="20"/>
                <w:szCs w:val="20"/>
              </w:rPr>
              <w:t>Hivatkozások jogszabályokra és megjegyzések</w:t>
            </w:r>
          </w:p>
        </w:tc>
      </w:tr>
      <w:tr w:rsidR="00FE6B4B" w:rsidRPr="00191B6F" w14:paraId="70C51AE0" w14:textId="77777777" w:rsidTr="00960BA9">
        <w:tc>
          <w:tcPr>
            <w:tcW w:w="905" w:type="dxa"/>
            <w:shd w:val="clear" w:color="auto" w:fill="auto"/>
            <w:tcMar>
              <w:top w:w="85" w:type="dxa"/>
            </w:tcMar>
            <w:vAlign w:val="center"/>
          </w:tcPr>
          <w:p w14:paraId="706043E4"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010</w:t>
            </w:r>
          </w:p>
        </w:tc>
        <w:tc>
          <w:tcPr>
            <w:tcW w:w="3456" w:type="dxa"/>
            <w:shd w:val="clear" w:color="auto" w:fill="auto"/>
            <w:tcMar>
              <w:top w:w="85" w:type="dxa"/>
            </w:tcMar>
            <w:vAlign w:val="center"/>
          </w:tcPr>
          <w:p w14:paraId="38197C90" w14:textId="77777777" w:rsidR="00FE6B4B" w:rsidRPr="00191B6F" w:rsidRDefault="00FE6B4B" w:rsidP="00D16669">
            <w:pPr>
              <w:contextualSpacing/>
              <w:rPr>
                <w:rFonts w:ascii="Arial" w:hAnsi="Arial" w:cs="Arial"/>
                <w:sz w:val="20"/>
                <w:szCs w:val="20"/>
              </w:rPr>
            </w:pPr>
            <w:r>
              <w:rPr>
                <w:rFonts w:ascii="Arial" w:hAnsi="Arial" w:cs="Arial"/>
                <w:sz w:val="20"/>
                <w:szCs w:val="20"/>
              </w:rPr>
              <w:t>Aktuális – tény</w:t>
            </w:r>
          </w:p>
        </w:tc>
        <w:tc>
          <w:tcPr>
            <w:tcW w:w="5103" w:type="dxa"/>
            <w:shd w:val="clear" w:color="auto" w:fill="auto"/>
            <w:tcMar>
              <w:top w:w="85" w:type="dxa"/>
            </w:tcMar>
            <w:vAlign w:val="center"/>
          </w:tcPr>
          <w:p w14:paraId="44CC682B" w14:textId="77777777" w:rsidR="00FE6B4B" w:rsidRPr="00191B6F" w:rsidRDefault="00FE6B4B" w:rsidP="00D16669">
            <w:pPr>
              <w:contextualSpacing/>
              <w:jc w:val="both"/>
              <w:rPr>
                <w:rFonts w:ascii="Arial" w:hAnsi="Arial" w:cs="Arial"/>
                <w:sz w:val="20"/>
                <w:szCs w:val="20"/>
              </w:rPr>
            </w:pPr>
            <w:r w:rsidRPr="00191B6F">
              <w:rPr>
                <w:rFonts w:ascii="Arial" w:hAnsi="Arial" w:cs="Arial"/>
                <w:sz w:val="20"/>
                <w:szCs w:val="20"/>
              </w:rPr>
              <w:t xml:space="preserve">Ebben az oszlopban </w:t>
            </w:r>
            <w:r>
              <w:rPr>
                <w:rFonts w:ascii="Arial" w:hAnsi="Arial" w:cs="Arial"/>
                <w:sz w:val="20"/>
                <w:szCs w:val="20"/>
              </w:rPr>
              <w:t xml:space="preserve">az előző év végi tényadatot </w:t>
            </w:r>
            <w:r w:rsidRPr="00191B6F">
              <w:rPr>
                <w:rFonts w:ascii="Arial" w:hAnsi="Arial" w:cs="Arial"/>
                <w:sz w:val="20"/>
                <w:szCs w:val="20"/>
              </w:rPr>
              <w:t xml:space="preserve">kell </w:t>
            </w:r>
            <w:r>
              <w:rPr>
                <w:rFonts w:ascii="Arial" w:hAnsi="Arial" w:cs="Arial"/>
                <w:sz w:val="20"/>
                <w:szCs w:val="20"/>
              </w:rPr>
              <w:t>jelenteni</w:t>
            </w:r>
            <w:r w:rsidRPr="00191B6F">
              <w:rPr>
                <w:rFonts w:ascii="Arial" w:hAnsi="Arial" w:cs="Arial"/>
                <w:sz w:val="20"/>
                <w:szCs w:val="20"/>
              </w:rPr>
              <w:t>.</w:t>
            </w:r>
          </w:p>
        </w:tc>
      </w:tr>
      <w:tr w:rsidR="00FE6B4B" w:rsidRPr="00191B6F" w14:paraId="34475F75" w14:textId="77777777" w:rsidTr="00960BA9">
        <w:tc>
          <w:tcPr>
            <w:tcW w:w="905" w:type="dxa"/>
            <w:shd w:val="clear" w:color="auto" w:fill="auto"/>
            <w:tcMar>
              <w:top w:w="85" w:type="dxa"/>
            </w:tcMar>
            <w:vAlign w:val="center"/>
          </w:tcPr>
          <w:p w14:paraId="54A4FABC"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 xml:space="preserve">020 </w:t>
            </w:r>
          </w:p>
        </w:tc>
        <w:tc>
          <w:tcPr>
            <w:tcW w:w="3456" w:type="dxa"/>
            <w:shd w:val="clear" w:color="auto" w:fill="auto"/>
            <w:tcMar>
              <w:top w:w="85" w:type="dxa"/>
            </w:tcMar>
            <w:vAlign w:val="center"/>
          </w:tcPr>
          <w:p w14:paraId="5833E5C6"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1 év – terv</w:t>
            </w:r>
          </w:p>
        </w:tc>
        <w:tc>
          <w:tcPr>
            <w:tcW w:w="5103" w:type="dxa"/>
            <w:shd w:val="clear" w:color="auto" w:fill="auto"/>
            <w:tcMar>
              <w:top w:w="85" w:type="dxa"/>
            </w:tcMar>
            <w:vAlign w:val="center"/>
          </w:tcPr>
          <w:p w14:paraId="5A02B0D9" w14:textId="3C4866D4" w:rsidR="00FE6B4B" w:rsidRPr="00191B6F" w:rsidRDefault="0072109E" w:rsidP="00D16669">
            <w:pPr>
              <w:contextualSpacing/>
              <w:jc w:val="both"/>
              <w:rPr>
                <w:rFonts w:ascii="Arial" w:hAnsi="Arial" w:cs="Arial"/>
                <w:sz w:val="20"/>
                <w:szCs w:val="20"/>
              </w:rPr>
            </w:pPr>
            <w:r>
              <w:rPr>
                <w:rFonts w:ascii="Arial" w:hAnsi="Arial" w:cs="Arial"/>
                <w:sz w:val="20"/>
                <w:szCs w:val="20"/>
              </w:rPr>
              <w:t>A</w:t>
            </w:r>
            <w:r w:rsidR="008862B7">
              <w:rPr>
                <w:rFonts w:ascii="Arial" w:hAnsi="Arial" w:cs="Arial"/>
                <w:sz w:val="20"/>
                <w:szCs w:val="20"/>
              </w:rPr>
              <w:t xml:space="preserve"> </w:t>
            </w:r>
            <w:r w:rsidR="00FE6B4B" w:rsidRPr="00191B6F">
              <w:rPr>
                <w:rFonts w:ascii="Arial" w:hAnsi="Arial" w:cs="Arial"/>
                <w:sz w:val="20"/>
                <w:szCs w:val="20"/>
              </w:rPr>
              <w:t xml:space="preserve">hitelintézeteknek a normál makrogazdasági helyzet és normál üzletmenet feltételezése mellett tett előrejelzések szerint kell kitölteniük. Az MNB nem ad meg makrogazdasági szcenáriót, a hitelintézetnek a saját becslései közül a legvalószínűbbet kell </w:t>
            </w:r>
            <w:r w:rsidR="00FE6B4B">
              <w:rPr>
                <w:rFonts w:ascii="Arial" w:hAnsi="Arial" w:cs="Arial"/>
                <w:sz w:val="20"/>
                <w:szCs w:val="20"/>
              </w:rPr>
              <w:t>alkalmaznia.</w:t>
            </w:r>
          </w:p>
        </w:tc>
      </w:tr>
    </w:tbl>
    <w:p w14:paraId="1F88A549" w14:textId="52C96050" w:rsidR="00FE6B4B" w:rsidRDefault="00FE6B4B" w:rsidP="00FE6B4B">
      <w:pPr>
        <w:rPr>
          <w:rFonts w:ascii="Arial" w:hAnsi="Arial" w:cs="Arial"/>
          <w:b/>
          <w:sz w:val="20"/>
          <w:szCs w:val="20"/>
        </w:rPr>
      </w:pPr>
    </w:p>
    <w:p w14:paraId="1280B987" w14:textId="77777777" w:rsidR="00994A73" w:rsidRDefault="00994A73" w:rsidP="00FE6B4B">
      <w:pPr>
        <w:rPr>
          <w:rFonts w:ascii="Arial" w:hAnsi="Arial" w:cs="Arial"/>
          <w:b/>
          <w:sz w:val="20"/>
          <w:szCs w:val="20"/>
        </w:rPr>
      </w:pPr>
    </w:p>
    <w:p w14:paraId="583999A4" w14:textId="06294FB8" w:rsidR="00FE6B4B" w:rsidRPr="003E72BE" w:rsidRDefault="0062780E" w:rsidP="00193049">
      <w:pPr>
        <w:jc w:val="both"/>
        <w:rPr>
          <w:rFonts w:ascii="Arial" w:hAnsi="Arial" w:cs="Arial"/>
          <w:b/>
          <w:sz w:val="20"/>
          <w:szCs w:val="20"/>
        </w:rPr>
      </w:pPr>
      <w:r w:rsidRPr="003E72BE">
        <w:rPr>
          <w:rFonts w:ascii="Arial" w:hAnsi="Arial" w:cs="Arial"/>
          <w:b/>
          <w:sz w:val="20"/>
          <w:szCs w:val="20"/>
        </w:rPr>
        <w:t xml:space="preserve">9. </w:t>
      </w:r>
      <w:r w:rsidR="00FE6B4B" w:rsidRPr="003E72BE">
        <w:rPr>
          <w:rFonts w:ascii="Arial" w:hAnsi="Arial" w:cs="Arial"/>
          <w:b/>
          <w:sz w:val="20"/>
          <w:szCs w:val="20"/>
        </w:rPr>
        <w:t xml:space="preserve">P_02.06 Finanszírozási terv </w:t>
      </w:r>
      <w:r w:rsidR="008E3A5A" w:rsidRPr="003E72BE">
        <w:rPr>
          <w:rFonts w:ascii="Arial" w:hAnsi="Arial" w:cs="Arial"/>
          <w:b/>
          <w:caps/>
          <w:sz w:val="20"/>
          <w:szCs w:val="20"/>
          <w:lang w:val="en-US" w:eastAsia="en-GB"/>
        </w:rPr>
        <w:t>–</w:t>
      </w:r>
      <w:r w:rsidR="00FE6B4B" w:rsidRPr="003E72BE">
        <w:rPr>
          <w:rFonts w:ascii="Arial" w:hAnsi="Arial" w:cs="Arial"/>
          <w:b/>
          <w:sz w:val="20"/>
          <w:szCs w:val="20"/>
        </w:rPr>
        <w:t xml:space="preserve"> </w:t>
      </w:r>
      <w:r w:rsidR="00461491" w:rsidRPr="003E72BE">
        <w:rPr>
          <w:rFonts w:ascii="Arial" w:hAnsi="Arial" w:cs="Arial"/>
          <w:b/>
          <w:sz w:val="20"/>
          <w:szCs w:val="20"/>
        </w:rPr>
        <w:t xml:space="preserve">Eszközök és források a két legjelentősebb külföldi és </w:t>
      </w:r>
      <w:r w:rsidR="00D73C74" w:rsidRPr="003E72BE">
        <w:rPr>
          <w:rFonts w:ascii="Arial" w:hAnsi="Arial" w:cs="Arial"/>
          <w:b/>
          <w:sz w:val="20"/>
          <w:szCs w:val="20"/>
        </w:rPr>
        <w:t xml:space="preserve">a </w:t>
      </w:r>
      <w:r w:rsidR="00461491" w:rsidRPr="003E72BE">
        <w:rPr>
          <w:rFonts w:ascii="Arial" w:hAnsi="Arial" w:cs="Arial"/>
          <w:b/>
          <w:sz w:val="20"/>
          <w:szCs w:val="20"/>
        </w:rPr>
        <w:t>jelentéstételi pénznemben</w:t>
      </w:r>
    </w:p>
    <w:p w14:paraId="6A34FA64" w14:textId="0D76C265" w:rsidR="00461491" w:rsidRPr="003E72BE" w:rsidRDefault="00461491" w:rsidP="00FE6B4B">
      <w:pPr>
        <w:rPr>
          <w:rFonts w:ascii="Arial" w:hAnsi="Arial" w:cs="Arial"/>
          <w:b/>
          <w:sz w:val="20"/>
          <w:szCs w:val="20"/>
        </w:rPr>
      </w:pPr>
    </w:p>
    <w:p w14:paraId="56DF759B" w14:textId="467E1735" w:rsidR="00934AEB" w:rsidRPr="003E72BE" w:rsidRDefault="00461491" w:rsidP="003E72BE">
      <w:pPr>
        <w:autoSpaceDE w:val="0"/>
        <w:autoSpaceDN w:val="0"/>
        <w:adjustRightInd w:val="0"/>
        <w:spacing w:after="240"/>
        <w:jc w:val="both"/>
        <w:rPr>
          <w:rFonts w:ascii="Arial" w:hAnsi="Arial" w:cs="Arial"/>
          <w:color w:val="000000"/>
          <w:sz w:val="20"/>
          <w:szCs w:val="20"/>
        </w:rPr>
      </w:pPr>
      <w:r w:rsidRPr="003E72BE">
        <w:rPr>
          <w:rFonts w:ascii="Arial" w:hAnsi="Arial" w:cs="Arial"/>
          <w:color w:val="000000"/>
          <w:sz w:val="20"/>
          <w:szCs w:val="20"/>
        </w:rPr>
        <w:t>A tábl</w:t>
      </w:r>
      <w:r w:rsidR="006B36F4">
        <w:rPr>
          <w:rFonts w:ascii="Arial" w:hAnsi="Arial" w:cs="Arial"/>
          <w:color w:val="000000"/>
          <w:sz w:val="20"/>
          <w:szCs w:val="20"/>
        </w:rPr>
        <w:t>ában</w:t>
      </w:r>
      <w:r w:rsidRPr="003E72BE">
        <w:rPr>
          <w:rFonts w:ascii="Arial" w:hAnsi="Arial" w:cs="Arial"/>
          <w:color w:val="000000"/>
          <w:sz w:val="20"/>
          <w:szCs w:val="20"/>
        </w:rPr>
        <w:t xml:space="preserve"> a külföldi pénznemben lévő eszközökről és kötelezettségekről </w:t>
      </w:r>
      <w:r w:rsidR="006B36F4">
        <w:rPr>
          <w:rFonts w:ascii="Arial" w:hAnsi="Arial" w:cs="Arial"/>
          <w:color w:val="000000"/>
          <w:sz w:val="20"/>
          <w:szCs w:val="20"/>
        </w:rPr>
        <w:t>jelentendők adatok</w:t>
      </w:r>
      <w:r w:rsidRPr="003E72BE">
        <w:rPr>
          <w:rFonts w:ascii="Arial" w:hAnsi="Arial" w:cs="Arial"/>
          <w:color w:val="000000"/>
          <w:sz w:val="20"/>
          <w:szCs w:val="20"/>
        </w:rPr>
        <w:t>, a két legjelentős</w:t>
      </w:r>
      <w:r w:rsidR="0053251A" w:rsidRPr="003E72BE">
        <w:rPr>
          <w:rFonts w:ascii="Arial" w:hAnsi="Arial" w:cs="Arial"/>
          <w:color w:val="000000"/>
          <w:sz w:val="20"/>
          <w:szCs w:val="20"/>
        </w:rPr>
        <w:t>ebb</w:t>
      </w:r>
      <w:r w:rsidRPr="003E72BE">
        <w:rPr>
          <w:rFonts w:ascii="Arial" w:hAnsi="Arial" w:cs="Arial"/>
          <w:color w:val="000000"/>
          <w:sz w:val="20"/>
          <w:szCs w:val="20"/>
        </w:rPr>
        <w:t xml:space="preserve"> pénznem</w:t>
      </w:r>
      <w:r w:rsidR="002D58AB" w:rsidRPr="003E72BE">
        <w:rPr>
          <w:rFonts w:ascii="Arial" w:hAnsi="Arial" w:cs="Arial"/>
          <w:color w:val="000000"/>
          <w:sz w:val="20"/>
          <w:szCs w:val="20"/>
        </w:rPr>
        <w:t>ben</w:t>
      </w:r>
      <w:r w:rsidRPr="003E72BE">
        <w:rPr>
          <w:rFonts w:ascii="Arial" w:hAnsi="Arial" w:cs="Arial"/>
          <w:color w:val="000000"/>
          <w:sz w:val="20"/>
          <w:szCs w:val="20"/>
        </w:rPr>
        <w:t xml:space="preserve"> </w:t>
      </w:r>
      <w:r w:rsidR="00D73C74" w:rsidRPr="003E72BE">
        <w:rPr>
          <w:rFonts w:ascii="Arial" w:hAnsi="Arial" w:cs="Arial"/>
          <w:color w:val="000000"/>
          <w:sz w:val="20"/>
          <w:szCs w:val="20"/>
        </w:rPr>
        <w:t xml:space="preserve">és a </w:t>
      </w:r>
      <w:r w:rsidRPr="003E72BE">
        <w:rPr>
          <w:rFonts w:ascii="Arial" w:hAnsi="Arial" w:cs="Arial"/>
          <w:color w:val="000000"/>
          <w:sz w:val="20"/>
          <w:szCs w:val="20"/>
        </w:rPr>
        <w:t>jelentéstételi pénzne</w:t>
      </w:r>
      <w:r w:rsidR="002D58AB" w:rsidRPr="003E72BE">
        <w:rPr>
          <w:rFonts w:ascii="Arial" w:hAnsi="Arial" w:cs="Arial"/>
          <w:color w:val="000000"/>
          <w:sz w:val="20"/>
          <w:szCs w:val="20"/>
        </w:rPr>
        <w:t>mben</w:t>
      </w:r>
      <w:r w:rsidRPr="003E72BE">
        <w:rPr>
          <w:rFonts w:ascii="Arial" w:hAnsi="Arial" w:cs="Arial"/>
          <w:color w:val="000000"/>
          <w:sz w:val="20"/>
          <w:szCs w:val="20"/>
        </w:rPr>
        <w:t>. Ezt a táblát a</w:t>
      </w:r>
      <w:r w:rsidR="006B36F4">
        <w:rPr>
          <w:rFonts w:ascii="Arial" w:hAnsi="Arial" w:cs="Arial"/>
          <w:color w:val="000000"/>
          <w:sz w:val="20"/>
          <w:szCs w:val="20"/>
        </w:rPr>
        <w:t>nnak</w:t>
      </w:r>
      <w:r w:rsidRPr="003E72BE">
        <w:rPr>
          <w:rFonts w:ascii="Arial" w:hAnsi="Arial" w:cs="Arial"/>
          <w:color w:val="000000"/>
          <w:sz w:val="20"/>
          <w:szCs w:val="20"/>
        </w:rPr>
        <w:t xml:space="preserve"> a hitelintézetnek kell </w:t>
      </w:r>
      <w:r w:rsidR="006B36F4">
        <w:rPr>
          <w:rFonts w:ascii="Arial" w:hAnsi="Arial" w:cs="Arial"/>
          <w:color w:val="000000"/>
          <w:sz w:val="20"/>
          <w:szCs w:val="20"/>
        </w:rPr>
        <w:t>kitöltenie</w:t>
      </w:r>
      <w:r w:rsidRPr="003E72BE">
        <w:rPr>
          <w:rFonts w:ascii="Arial" w:hAnsi="Arial" w:cs="Arial"/>
          <w:color w:val="000000"/>
          <w:sz w:val="20"/>
          <w:szCs w:val="20"/>
        </w:rPr>
        <w:t xml:space="preserve">, amely nem </w:t>
      </w:r>
      <w:r w:rsidR="00A5186E">
        <w:rPr>
          <w:rFonts w:ascii="Arial" w:hAnsi="Arial" w:cs="Arial"/>
          <w:color w:val="000000"/>
          <w:sz w:val="20"/>
          <w:szCs w:val="20"/>
        </w:rPr>
        <w:t>minősül</w:t>
      </w:r>
      <w:r w:rsidRPr="003E72BE">
        <w:rPr>
          <w:rFonts w:ascii="Arial" w:hAnsi="Arial" w:cs="Arial"/>
          <w:color w:val="000000"/>
          <w:sz w:val="20"/>
          <w:szCs w:val="20"/>
        </w:rPr>
        <w:t xml:space="preserve"> </w:t>
      </w:r>
      <w:r w:rsidR="001A6340" w:rsidRPr="003E72BE">
        <w:rPr>
          <w:rFonts w:ascii="Arial" w:hAnsi="Arial" w:cs="Arial"/>
          <w:sz w:val="20"/>
          <w:szCs w:val="20"/>
        </w:rPr>
        <w:t xml:space="preserve">a CRR </w:t>
      </w:r>
      <w:r w:rsidRPr="003E72BE">
        <w:rPr>
          <w:rFonts w:ascii="Arial" w:hAnsi="Arial" w:cs="Arial"/>
          <w:color w:val="000000"/>
          <w:sz w:val="20"/>
          <w:szCs w:val="20"/>
        </w:rPr>
        <w:t>4. cikk (</w:t>
      </w:r>
      <w:r w:rsidR="00A5186E">
        <w:rPr>
          <w:rFonts w:ascii="Arial" w:hAnsi="Arial" w:cs="Arial"/>
          <w:color w:val="000000"/>
          <w:sz w:val="20"/>
          <w:szCs w:val="20"/>
        </w:rPr>
        <w:t xml:space="preserve">1) bekezdés </w:t>
      </w:r>
      <w:r w:rsidRPr="003E72BE">
        <w:rPr>
          <w:rFonts w:ascii="Arial" w:hAnsi="Arial" w:cs="Arial"/>
          <w:color w:val="000000"/>
          <w:sz w:val="20"/>
          <w:szCs w:val="20"/>
        </w:rPr>
        <w:t>145</w:t>
      </w:r>
      <w:r w:rsidR="002F6624">
        <w:rPr>
          <w:rFonts w:ascii="Arial" w:hAnsi="Arial" w:cs="Arial"/>
          <w:color w:val="000000"/>
          <w:sz w:val="20"/>
          <w:szCs w:val="20"/>
        </w:rPr>
        <w:t>.</w:t>
      </w:r>
      <w:r w:rsidRPr="003E72BE">
        <w:rPr>
          <w:rFonts w:ascii="Arial" w:hAnsi="Arial" w:cs="Arial"/>
          <w:color w:val="000000"/>
          <w:sz w:val="20"/>
          <w:szCs w:val="20"/>
        </w:rPr>
        <w:t xml:space="preserve"> </w:t>
      </w:r>
      <w:r w:rsidR="00A5186E">
        <w:rPr>
          <w:rFonts w:ascii="Arial" w:hAnsi="Arial" w:cs="Arial"/>
          <w:color w:val="000000"/>
          <w:sz w:val="20"/>
          <w:szCs w:val="20"/>
        </w:rPr>
        <w:t>pontja szerinti</w:t>
      </w:r>
      <w:r w:rsidRPr="003E72BE">
        <w:rPr>
          <w:rFonts w:ascii="Arial" w:hAnsi="Arial" w:cs="Arial"/>
          <w:color w:val="000000"/>
          <w:sz w:val="20"/>
          <w:szCs w:val="20"/>
        </w:rPr>
        <w:t xml:space="preserve"> </w:t>
      </w:r>
      <w:r w:rsidR="005450BD" w:rsidRPr="00412380">
        <w:rPr>
          <w:rFonts w:ascii="Arial" w:hAnsi="Arial" w:cs="Arial"/>
          <w:color w:val="000000"/>
          <w:sz w:val="20"/>
          <w:szCs w:val="20"/>
        </w:rPr>
        <w:t>kis méretű és nem összetett</w:t>
      </w:r>
      <w:r w:rsidR="005450BD" w:rsidRPr="00B771E2">
        <w:rPr>
          <w:rFonts w:ascii="Arial" w:hAnsi="Arial" w:cs="Arial"/>
          <w:color w:val="000000"/>
          <w:sz w:val="20"/>
          <w:szCs w:val="20"/>
        </w:rPr>
        <w:t xml:space="preserve"> intézmény</w:t>
      </w:r>
      <w:r w:rsidR="006B36F4">
        <w:rPr>
          <w:rFonts w:ascii="Arial" w:hAnsi="Arial" w:cs="Arial"/>
          <w:color w:val="000000"/>
          <w:sz w:val="20"/>
          <w:szCs w:val="20"/>
        </w:rPr>
        <w:t>nek</w:t>
      </w:r>
      <w:r w:rsidR="005450BD">
        <w:rPr>
          <w:rFonts w:ascii="Arial" w:hAnsi="Arial" w:cs="Arial"/>
          <w:color w:val="000000"/>
          <w:sz w:val="20"/>
          <w:szCs w:val="20"/>
        </w:rPr>
        <w:t>.</w:t>
      </w:r>
      <w:r w:rsidR="00994A73">
        <w:rPr>
          <w:rFonts w:ascii="Arial" w:hAnsi="Arial" w:cs="Arial"/>
          <w:color w:val="000000"/>
          <w:sz w:val="20"/>
          <w:szCs w:val="20"/>
        </w:rPr>
        <w:t xml:space="preserve"> </w:t>
      </w:r>
      <w:r w:rsidR="00934AEB" w:rsidRPr="003E72BE">
        <w:rPr>
          <w:rFonts w:ascii="Arial" w:hAnsi="Arial" w:cs="Arial"/>
          <w:color w:val="000000"/>
          <w:sz w:val="20"/>
          <w:szCs w:val="20"/>
        </w:rPr>
        <w:t>A hitelintézetnek meg kell adni</w:t>
      </w:r>
      <w:r w:rsidR="006B36F4">
        <w:rPr>
          <w:rFonts w:ascii="Arial" w:hAnsi="Arial" w:cs="Arial"/>
          <w:color w:val="000000"/>
          <w:sz w:val="20"/>
          <w:szCs w:val="20"/>
        </w:rPr>
        <w:t>a</w:t>
      </w:r>
      <w:r w:rsidR="00934AEB" w:rsidRPr="003E72BE">
        <w:rPr>
          <w:rFonts w:ascii="Arial" w:hAnsi="Arial" w:cs="Arial"/>
          <w:color w:val="000000"/>
          <w:sz w:val="20"/>
          <w:szCs w:val="20"/>
        </w:rPr>
        <w:t xml:space="preserve"> a mérlegbontá</w:t>
      </w:r>
      <w:r w:rsidR="0088241A" w:rsidRPr="003E72BE">
        <w:rPr>
          <w:rFonts w:ascii="Arial" w:hAnsi="Arial" w:cs="Arial"/>
          <w:color w:val="000000"/>
          <w:sz w:val="20"/>
          <w:szCs w:val="20"/>
        </w:rPr>
        <w:t>s</w:t>
      </w:r>
      <w:r w:rsidR="00934AEB" w:rsidRPr="003E72BE">
        <w:rPr>
          <w:rFonts w:ascii="Arial" w:hAnsi="Arial" w:cs="Arial"/>
          <w:color w:val="000000"/>
          <w:sz w:val="20"/>
          <w:szCs w:val="20"/>
        </w:rPr>
        <w:t>t a két legjelentős</w:t>
      </w:r>
      <w:r w:rsidR="00912451" w:rsidRPr="003E72BE">
        <w:rPr>
          <w:rFonts w:ascii="Arial" w:hAnsi="Arial" w:cs="Arial"/>
          <w:color w:val="000000"/>
          <w:sz w:val="20"/>
          <w:szCs w:val="20"/>
        </w:rPr>
        <w:t>ebb</w:t>
      </w:r>
      <w:r w:rsidR="00934AEB" w:rsidRPr="003E72BE">
        <w:rPr>
          <w:rFonts w:ascii="Arial" w:hAnsi="Arial" w:cs="Arial"/>
          <w:color w:val="000000"/>
          <w:sz w:val="20"/>
          <w:szCs w:val="20"/>
        </w:rPr>
        <w:t xml:space="preserve"> pénznem és a jelentéstételi pénznem szerint. Egy pénznemet akkor kell jelentősnek tekinteni, ha </w:t>
      </w:r>
      <w:r w:rsidR="001A6340" w:rsidRPr="003E72BE">
        <w:rPr>
          <w:rFonts w:ascii="Arial" w:hAnsi="Arial" w:cs="Arial"/>
          <w:sz w:val="20"/>
          <w:szCs w:val="20"/>
        </w:rPr>
        <w:t xml:space="preserve">a CRR </w:t>
      </w:r>
      <w:r w:rsidR="00934AEB" w:rsidRPr="003E72BE">
        <w:rPr>
          <w:rFonts w:ascii="Arial" w:hAnsi="Arial" w:cs="Arial"/>
          <w:color w:val="000000"/>
          <w:sz w:val="20"/>
          <w:szCs w:val="20"/>
        </w:rPr>
        <w:t>415. cikk (2) bekezdés a) pontjában meghatározottak szerint az összes kötelezettség több</w:t>
      </w:r>
      <w:r w:rsidR="000F5E90">
        <w:rPr>
          <w:rFonts w:ascii="Arial" w:hAnsi="Arial" w:cs="Arial"/>
          <w:color w:val="000000"/>
          <w:sz w:val="20"/>
          <w:szCs w:val="20"/>
        </w:rPr>
        <w:t>,</w:t>
      </w:r>
      <w:r w:rsidR="00934AEB" w:rsidRPr="003E72BE">
        <w:rPr>
          <w:rFonts w:ascii="Arial" w:hAnsi="Arial" w:cs="Arial"/>
          <w:color w:val="000000"/>
          <w:sz w:val="20"/>
          <w:szCs w:val="20"/>
        </w:rPr>
        <w:t xml:space="preserve"> mint 5%-át teszi ki. A pénznemeket a P</w:t>
      </w:r>
      <w:r w:rsidR="003A5E87">
        <w:rPr>
          <w:rFonts w:ascii="Arial" w:hAnsi="Arial" w:cs="Arial"/>
          <w:color w:val="000000"/>
          <w:sz w:val="20"/>
          <w:szCs w:val="20"/>
        </w:rPr>
        <w:t>_</w:t>
      </w:r>
      <w:r w:rsidR="00934AEB" w:rsidRPr="003E72BE">
        <w:rPr>
          <w:rFonts w:ascii="Arial" w:hAnsi="Arial" w:cs="Arial"/>
          <w:color w:val="000000"/>
          <w:sz w:val="20"/>
          <w:szCs w:val="20"/>
        </w:rPr>
        <w:t xml:space="preserve">02.06 tábla </w:t>
      </w:r>
      <w:r w:rsidR="00934AEB" w:rsidRPr="003E72BE">
        <w:rPr>
          <w:rFonts w:ascii="Arial" w:hAnsi="Arial" w:cs="Arial"/>
          <w:i/>
          <w:iCs/>
          <w:color w:val="000000"/>
          <w:sz w:val="20"/>
          <w:szCs w:val="20"/>
        </w:rPr>
        <w:t>z</w:t>
      </w:r>
      <w:r w:rsidR="00934AEB" w:rsidRPr="003E72BE">
        <w:rPr>
          <w:rFonts w:ascii="Arial" w:hAnsi="Arial" w:cs="Arial"/>
          <w:color w:val="000000"/>
          <w:sz w:val="20"/>
          <w:szCs w:val="20"/>
        </w:rPr>
        <w:t>-tengelyeként kell jelenteni.</w:t>
      </w:r>
      <w:r w:rsidR="000F5E90">
        <w:rPr>
          <w:rFonts w:ascii="Arial" w:hAnsi="Arial" w:cs="Arial"/>
          <w:color w:val="000000"/>
          <w:sz w:val="20"/>
          <w:szCs w:val="20"/>
        </w:rPr>
        <w:t xml:space="preserve"> </w:t>
      </w:r>
      <w:r w:rsidR="00934AEB" w:rsidRPr="003E72BE">
        <w:rPr>
          <w:rFonts w:ascii="Arial" w:hAnsi="Arial" w:cs="Arial"/>
          <w:color w:val="000000"/>
          <w:sz w:val="20"/>
          <w:szCs w:val="20"/>
        </w:rPr>
        <w:t xml:space="preserve">Az adatokat a denomináció pénznemében kell jelenteni. </w:t>
      </w:r>
    </w:p>
    <w:p w14:paraId="3729A2D4" w14:textId="24766CCD" w:rsidR="002550A5" w:rsidRPr="002550A5" w:rsidRDefault="00A5186E" w:rsidP="00FE6B4B">
      <w:pPr>
        <w:jc w:val="both"/>
        <w:rPr>
          <w:rFonts w:ascii="Arial" w:hAnsi="Arial" w:cs="Arial"/>
          <w:b/>
          <w:bCs/>
          <w:sz w:val="20"/>
          <w:szCs w:val="20"/>
        </w:rPr>
      </w:pPr>
      <w:r>
        <w:rPr>
          <w:rFonts w:ascii="Arial" w:hAnsi="Arial" w:cs="Arial"/>
          <w:b/>
          <w:bCs/>
          <w:sz w:val="20"/>
          <w:szCs w:val="20"/>
        </w:rPr>
        <w:t>A tábla sorai</w:t>
      </w:r>
    </w:p>
    <w:p w14:paraId="05735DAD" w14:textId="77777777" w:rsidR="00F26A6C" w:rsidRPr="003E72BE" w:rsidRDefault="00F26A6C" w:rsidP="00F26A6C">
      <w:pPr>
        <w:autoSpaceDE w:val="0"/>
        <w:autoSpaceDN w:val="0"/>
        <w:adjustRightInd w:val="0"/>
        <w:rPr>
          <w:rFonts w:ascii="Arial" w:hAnsi="Arial" w:cs="Arial"/>
          <w:color w:val="000000"/>
          <w:sz w:val="20"/>
          <w:szCs w:val="20"/>
        </w:rPr>
      </w:pPr>
    </w:p>
    <w:p w14:paraId="777DC0AB" w14:textId="6D384006" w:rsidR="00F26A6C" w:rsidRDefault="00F26A6C" w:rsidP="00FE6B4B">
      <w:pPr>
        <w:jc w:val="both"/>
        <w:rPr>
          <w:rFonts w:ascii="Arial" w:hAnsi="Arial" w:cs="Arial"/>
          <w:sz w:val="20"/>
          <w:szCs w:val="20"/>
        </w:rPr>
      </w:pPr>
    </w:p>
    <w:tbl>
      <w:tblPr>
        <w:tblW w:w="9464" w:type="dxa"/>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Look w:val="04A0" w:firstRow="1" w:lastRow="0" w:firstColumn="1" w:lastColumn="0" w:noHBand="0" w:noVBand="1"/>
      </w:tblPr>
      <w:tblGrid>
        <w:gridCol w:w="905"/>
        <w:gridCol w:w="1217"/>
        <w:gridCol w:w="3385"/>
        <w:gridCol w:w="3957"/>
      </w:tblGrid>
      <w:tr w:rsidR="00FE6B4B" w:rsidRPr="00191B6F" w14:paraId="268928E2" w14:textId="77777777" w:rsidTr="00B771E2">
        <w:tc>
          <w:tcPr>
            <w:tcW w:w="905" w:type="dxa"/>
            <w:shd w:val="clear" w:color="auto" w:fill="auto"/>
            <w:vAlign w:val="center"/>
          </w:tcPr>
          <w:p w14:paraId="61321D05" w14:textId="77777777" w:rsidR="00FE6B4B" w:rsidRPr="00191B6F" w:rsidRDefault="00FE6B4B" w:rsidP="00D16669">
            <w:pPr>
              <w:contextualSpacing/>
              <w:jc w:val="center"/>
              <w:rPr>
                <w:rFonts w:ascii="Arial" w:hAnsi="Arial" w:cs="Arial"/>
                <w:b/>
                <w:sz w:val="20"/>
                <w:szCs w:val="20"/>
              </w:rPr>
            </w:pPr>
            <w:r w:rsidRPr="00191B6F">
              <w:rPr>
                <w:rFonts w:ascii="Arial" w:hAnsi="Arial" w:cs="Arial"/>
                <w:b/>
                <w:sz w:val="20"/>
                <w:szCs w:val="20"/>
              </w:rPr>
              <w:t>Sor</w:t>
            </w:r>
            <w:r>
              <w:rPr>
                <w:rFonts w:ascii="Arial" w:hAnsi="Arial" w:cs="Arial"/>
                <w:b/>
                <w:sz w:val="20"/>
                <w:szCs w:val="20"/>
              </w:rPr>
              <w:t>kód</w:t>
            </w:r>
          </w:p>
        </w:tc>
        <w:tc>
          <w:tcPr>
            <w:tcW w:w="1217" w:type="dxa"/>
            <w:vAlign w:val="center"/>
          </w:tcPr>
          <w:p w14:paraId="5A9022A7" w14:textId="77777777" w:rsidR="00FE6B4B" w:rsidRPr="00191B6F" w:rsidRDefault="00FE6B4B" w:rsidP="00D16669">
            <w:pPr>
              <w:contextualSpacing/>
              <w:jc w:val="center"/>
              <w:rPr>
                <w:rFonts w:ascii="Arial" w:hAnsi="Arial" w:cs="Arial"/>
                <w:b/>
                <w:sz w:val="20"/>
                <w:szCs w:val="20"/>
              </w:rPr>
            </w:pPr>
            <w:r>
              <w:rPr>
                <w:rFonts w:ascii="Arial" w:hAnsi="Arial" w:cs="Arial"/>
                <w:b/>
                <w:sz w:val="20"/>
                <w:szCs w:val="20"/>
              </w:rPr>
              <w:t>Hierarchia</w:t>
            </w:r>
          </w:p>
        </w:tc>
        <w:tc>
          <w:tcPr>
            <w:tcW w:w="3385" w:type="dxa"/>
            <w:shd w:val="clear" w:color="auto" w:fill="auto"/>
            <w:vAlign w:val="center"/>
          </w:tcPr>
          <w:p w14:paraId="668E58B3" w14:textId="77777777" w:rsidR="00FE6B4B" w:rsidRPr="00191B6F" w:rsidRDefault="00FE6B4B" w:rsidP="00D16669">
            <w:pPr>
              <w:contextualSpacing/>
              <w:jc w:val="center"/>
              <w:rPr>
                <w:rFonts w:ascii="Arial" w:hAnsi="Arial" w:cs="Arial"/>
                <w:b/>
                <w:sz w:val="20"/>
                <w:szCs w:val="20"/>
              </w:rPr>
            </w:pPr>
            <w:r w:rsidRPr="00191B6F">
              <w:rPr>
                <w:rFonts w:ascii="Arial" w:hAnsi="Arial" w:cs="Arial"/>
                <w:b/>
                <w:sz w:val="20"/>
                <w:szCs w:val="20"/>
              </w:rPr>
              <w:t>Megnevezés</w:t>
            </w:r>
          </w:p>
        </w:tc>
        <w:tc>
          <w:tcPr>
            <w:tcW w:w="3957" w:type="dxa"/>
            <w:shd w:val="clear" w:color="auto" w:fill="auto"/>
            <w:vAlign w:val="center"/>
          </w:tcPr>
          <w:p w14:paraId="7DEDCAC7" w14:textId="77777777" w:rsidR="00FE6B4B" w:rsidRPr="00191B6F" w:rsidRDefault="00FE6B4B" w:rsidP="00D16669">
            <w:pPr>
              <w:contextualSpacing/>
              <w:jc w:val="center"/>
              <w:rPr>
                <w:rFonts w:ascii="Arial" w:hAnsi="Arial" w:cs="Arial"/>
                <w:b/>
                <w:sz w:val="20"/>
                <w:szCs w:val="20"/>
              </w:rPr>
            </w:pPr>
            <w:r w:rsidRPr="00191B6F">
              <w:rPr>
                <w:rFonts w:ascii="Arial" w:hAnsi="Arial" w:cs="Arial"/>
                <w:b/>
                <w:sz w:val="20"/>
                <w:szCs w:val="20"/>
              </w:rPr>
              <w:t>Hivatkozások jogszabályokra és megjegyzések</w:t>
            </w:r>
          </w:p>
        </w:tc>
      </w:tr>
      <w:tr w:rsidR="00FE6B4B" w:rsidRPr="00191B6F" w14:paraId="40E323DD" w14:textId="77777777" w:rsidTr="00B771E2">
        <w:tc>
          <w:tcPr>
            <w:tcW w:w="905" w:type="dxa"/>
            <w:shd w:val="clear" w:color="auto" w:fill="auto"/>
            <w:tcMar>
              <w:top w:w="85" w:type="dxa"/>
            </w:tcMar>
            <w:vAlign w:val="center"/>
          </w:tcPr>
          <w:p w14:paraId="76F231DA" w14:textId="77777777" w:rsidR="00FE6B4B" w:rsidRPr="00191B6F" w:rsidRDefault="00FE6B4B" w:rsidP="00D16669">
            <w:pPr>
              <w:contextualSpacing/>
              <w:rPr>
                <w:rFonts w:ascii="Arial" w:hAnsi="Arial" w:cs="Arial"/>
                <w:sz w:val="20"/>
                <w:szCs w:val="20"/>
              </w:rPr>
            </w:pPr>
            <w:r>
              <w:rPr>
                <w:rFonts w:ascii="Arial" w:hAnsi="Arial" w:cs="Arial"/>
                <w:sz w:val="20"/>
                <w:szCs w:val="20"/>
              </w:rPr>
              <w:t>01</w:t>
            </w:r>
          </w:p>
        </w:tc>
        <w:tc>
          <w:tcPr>
            <w:tcW w:w="1217" w:type="dxa"/>
            <w:vAlign w:val="center"/>
          </w:tcPr>
          <w:p w14:paraId="446F6A89" w14:textId="77777777" w:rsidR="00FE6B4B" w:rsidRPr="003107B0" w:rsidRDefault="00FE6B4B" w:rsidP="00D16669">
            <w:pPr>
              <w:contextualSpacing/>
              <w:rPr>
                <w:rFonts w:ascii="Arial" w:hAnsi="Arial" w:cs="Arial"/>
                <w:sz w:val="20"/>
                <w:szCs w:val="20"/>
                <w:highlight w:val="yellow"/>
              </w:rPr>
            </w:pPr>
            <w:r w:rsidRPr="001E6625">
              <w:rPr>
                <w:rFonts w:ascii="Arial" w:hAnsi="Arial" w:cs="Arial"/>
                <w:sz w:val="20"/>
                <w:szCs w:val="20"/>
              </w:rPr>
              <w:t>Z</w:t>
            </w:r>
          </w:p>
        </w:tc>
        <w:tc>
          <w:tcPr>
            <w:tcW w:w="3385" w:type="dxa"/>
            <w:shd w:val="clear" w:color="auto" w:fill="auto"/>
            <w:tcMar>
              <w:top w:w="85" w:type="dxa"/>
            </w:tcMar>
            <w:vAlign w:val="center"/>
          </w:tcPr>
          <w:p w14:paraId="0156EACE" w14:textId="77777777" w:rsidR="00FE6B4B" w:rsidRPr="00191B6F" w:rsidRDefault="00FE6B4B" w:rsidP="004F5330">
            <w:pPr>
              <w:contextualSpacing/>
              <w:jc w:val="both"/>
              <w:rPr>
                <w:rFonts w:ascii="Arial" w:hAnsi="Arial" w:cs="Arial"/>
                <w:sz w:val="20"/>
                <w:szCs w:val="20"/>
              </w:rPr>
            </w:pPr>
            <w:r w:rsidRPr="009A5661">
              <w:rPr>
                <w:rFonts w:ascii="Arial" w:hAnsi="Arial" w:cs="Arial"/>
                <w:sz w:val="20"/>
                <w:szCs w:val="20"/>
              </w:rPr>
              <w:t>Kitettség pénzneme</w:t>
            </w:r>
          </w:p>
        </w:tc>
        <w:tc>
          <w:tcPr>
            <w:tcW w:w="3957" w:type="dxa"/>
            <w:shd w:val="clear" w:color="auto" w:fill="auto"/>
            <w:tcMar>
              <w:top w:w="85" w:type="dxa"/>
            </w:tcMar>
            <w:vAlign w:val="center"/>
          </w:tcPr>
          <w:p w14:paraId="7E7A9CED" w14:textId="0903B8F7" w:rsidR="00FE6B4B" w:rsidRPr="00191B6F" w:rsidRDefault="00FE6B4B" w:rsidP="00883E29">
            <w:pPr>
              <w:contextualSpacing/>
              <w:jc w:val="both"/>
              <w:rPr>
                <w:rFonts w:ascii="Arial" w:hAnsi="Arial" w:cs="Arial"/>
                <w:sz w:val="20"/>
                <w:szCs w:val="20"/>
              </w:rPr>
            </w:pPr>
            <w:r>
              <w:rPr>
                <w:rFonts w:ascii="Arial" w:hAnsi="Arial" w:cs="Arial"/>
                <w:sz w:val="20"/>
                <w:szCs w:val="20"/>
              </w:rPr>
              <w:t xml:space="preserve">a </w:t>
            </w:r>
            <w:r w:rsidR="00934AEB">
              <w:rPr>
                <w:rFonts w:ascii="Arial" w:hAnsi="Arial" w:cs="Arial"/>
                <w:sz w:val="20"/>
                <w:szCs w:val="20"/>
              </w:rPr>
              <w:t xml:space="preserve">két </w:t>
            </w:r>
            <w:r>
              <w:rPr>
                <w:rFonts w:ascii="Arial" w:hAnsi="Arial" w:cs="Arial"/>
                <w:sz w:val="20"/>
                <w:szCs w:val="20"/>
              </w:rPr>
              <w:t xml:space="preserve">leglényegesebb pénznem </w:t>
            </w:r>
            <w:r w:rsidR="00E84102">
              <w:rPr>
                <w:rFonts w:ascii="Arial" w:hAnsi="Arial" w:cs="Arial"/>
                <w:sz w:val="20"/>
                <w:szCs w:val="20"/>
              </w:rPr>
              <w:t>és jelent</w:t>
            </w:r>
            <w:r w:rsidR="006D151F">
              <w:rPr>
                <w:rFonts w:ascii="Arial" w:hAnsi="Arial" w:cs="Arial"/>
                <w:sz w:val="20"/>
                <w:szCs w:val="20"/>
              </w:rPr>
              <w:t>é</w:t>
            </w:r>
            <w:r w:rsidR="00E84102">
              <w:rPr>
                <w:rFonts w:ascii="Arial" w:hAnsi="Arial" w:cs="Arial"/>
                <w:sz w:val="20"/>
                <w:szCs w:val="20"/>
              </w:rPr>
              <w:t>st</w:t>
            </w:r>
            <w:r w:rsidR="0020195E">
              <w:rPr>
                <w:rFonts w:ascii="Arial" w:hAnsi="Arial" w:cs="Arial"/>
                <w:sz w:val="20"/>
                <w:szCs w:val="20"/>
              </w:rPr>
              <w:t>é</w:t>
            </w:r>
            <w:r w:rsidR="00E84102">
              <w:rPr>
                <w:rFonts w:ascii="Arial" w:hAnsi="Arial" w:cs="Arial"/>
                <w:sz w:val="20"/>
                <w:szCs w:val="20"/>
              </w:rPr>
              <w:t xml:space="preserve">teli pénznem </w:t>
            </w:r>
            <w:r>
              <w:rPr>
                <w:rFonts w:ascii="Arial" w:hAnsi="Arial" w:cs="Arial"/>
                <w:sz w:val="20"/>
                <w:szCs w:val="20"/>
              </w:rPr>
              <w:t>ISO kódja</w:t>
            </w:r>
          </w:p>
        </w:tc>
      </w:tr>
      <w:tr w:rsidR="00FE6B4B" w:rsidRPr="00191B6F" w14:paraId="1D46A0BD" w14:textId="77777777" w:rsidTr="00B771E2">
        <w:tc>
          <w:tcPr>
            <w:tcW w:w="905" w:type="dxa"/>
            <w:shd w:val="clear" w:color="auto" w:fill="auto"/>
            <w:tcMar>
              <w:top w:w="85" w:type="dxa"/>
            </w:tcMar>
            <w:vAlign w:val="center"/>
          </w:tcPr>
          <w:p w14:paraId="64E3ACB9" w14:textId="557C740D" w:rsidR="00FE6B4B" w:rsidRPr="00191B6F" w:rsidRDefault="00E11D52" w:rsidP="00D16669">
            <w:pPr>
              <w:contextualSpacing/>
              <w:rPr>
                <w:rFonts w:ascii="Arial" w:hAnsi="Arial" w:cs="Arial"/>
                <w:sz w:val="20"/>
                <w:szCs w:val="20"/>
              </w:rPr>
            </w:pPr>
            <w:r>
              <w:rPr>
                <w:rFonts w:ascii="Arial" w:hAnsi="Arial" w:cs="Arial"/>
                <w:sz w:val="20"/>
                <w:szCs w:val="20"/>
              </w:rPr>
              <w:t>009</w:t>
            </w:r>
          </w:p>
        </w:tc>
        <w:tc>
          <w:tcPr>
            <w:tcW w:w="1217" w:type="dxa"/>
            <w:vAlign w:val="center"/>
          </w:tcPr>
          <w:p w14:paraId="0D663470" w14:textId="77777777" w:rsidR="00FE6B4B" w:rsidRDefault="00FE6B4B" w:rsidP="00D16669">
            <w:pPr>
              <w:contextualSpacing/>
              <w:rPr>
                <w:rFonts w:ascii="Arial" w:hAnsi="Arial" w:cs="Arial"/>
                <w:sz w:val="20"/>
                <w:szCs w:val="20"/>
              </w:rPr>
            </w:pPr>
            <w:r>
              <w:rPr>
                <w:rFonts w:ascii="Arial" w:hAnsi="Arial" w:cs="Arial"/>
                <w:sz w:val="20"/>
                <w:szCs w:val="20"/>
              </w:rPr>
              <w:t>1.</w:t>
            </w:r>
          </w:p>
        </w:tc>
        <w:tc>
          <w:tcPr>
            <w:tcW w:w="7342" w:type="dxa"/>
            <w:gridSpan w:val="2"/>
            <w:shd w:val="clear" w:color="auto" w:fill="auto"/>
            <w:tcMar>
              <w:top w:w="85" w:type="dxa"/>
            </w:tcMar>
            <w:vAlign w:val="center"/>
          </w:tcPr>
          <w:p w14:paraId="24F67080" w14:textId="3A195089" w:rsidR="00FE6B4B" w:rsidRPr="00191B6F" w:rsidRDefault="00E11D52" w:rsidP="00883E29">
            <w:pPr>
              <w:contextualSpacing/>
              <w:jc w:val="both"/>
              <w:rPr>
                <w:rFonts w:ascii="Arial" w:hAnsi="Arial" w:cs="Arial"/>
                <w:sz w:val="20"/>
                <w:szCs w:val="20"/>
              </w:rPr>
            </w:pPr>
            <w:r>
              <w:rPr>
                <w:rFonts w:ascii="Arial" w:hAnsi="Arial" w:cs="Arial"/>
                <w:sz w:val="20"/>
                <w:szCs w:val="20"/>
              </w:rPr>
              <w:t>Bruttó h</w:t>
            </w:r>
            <w:r w:rsidR="00FE6B4B">
              <w:rPr>
                <w:rFonts w:ascii="Arial" w:hAnsi="Arial" w:cs="Arial"/>
                <w:sz w:val="20"/>
                <w:szCs w:val="20"/>
              </w:rPr>
              <w:t xml:space="preserve">itelek </w:t>
            </w:r>
            <w:r w:rsidR="00F808E9">
              <w:rPr>
                <w:rFonts w:ascii="Arial" w:hAnsi="Arial" w:cs="Arial"/>
                <w:sz w:val="20"/>
                <w:szCs w:val="20"/>
              </w:rPr>
              <w:t xml:space="preserve">és előlegek valamit egyéb pénzügyi eszközök </w:t>
            </w:r>
            <w:r w:rsidR="00FE6B4B">
              <w:rPr>
                <w:rFonts w:ascii="Arial" w:hAnsi="Arial" w:cs="Arial"/>
                <w:sz w:val="20"/>
                <w:szCs w:val="20"/>
              </w:rPr>
              <w:t>– a határidős devizaügyletek</w:t>
            </w:r>
            <w:r w:rsidR="00F808E9">
              <w:rPr>
                <w:rFonts w:ascii="Arial" w:hAnsi="Arial" w:cs="Arial"/>
                <w:sz w:val="20"/>
                <w:szCs w:val="20"/>
              </w:rPr>
              <w:t xml:space="preserve">, </w:t>
            </w:r>
            <w:r w:rsidR="00FE6B4B">
              <w:rPr>
                <w:rFonts w:ascii="Arial" w:hAnsi="Arial" w:cs="Arial"/>
                <w:sz w:val="20"/>
                <w:szCs w:val="20"/>
              </w:rPr>
              <w:t>keresztdevizás csereügyletek</w:t>
            </w:r>
            <w:r w:rsidR="00F808E9">
              <w:rPr>
                <w:rFonts w:ascii="Arial" w:hAnsi="Arial" w:cs="Arial"/>
                <w:sz w:val="20"/>
                <w:szCs w:val="20"/>
              </w:rPr>
              <w:t xml:space="preserve"> és </w:t>
            </w:r>
            <w:r w:rsidR="00F808E9" w:rsidRPr="00F808E9">
              <w:rPr>
                <w:rFonts w:ascii="Arial" w:hAnsi="Arial" w:cs="Arial"/>
                <w:sz w:val="20"/>
                <w:szCs w:val="20"/>
              </w:rPr>
              <w:t>egyéb fedezeti ügyletek</w:t>
            </w:r>
            <w:r w:rsidR="00FE6B4B">
              <w:rPr>
                <w:rFonts w:ascii="Arial" w:hAnsi="Arial" w:cs="Arial"/>
                <w:sz w:val="20"/>
                <w:szCs w:val="20"/>
              </w:rPr>
              <w:t xml:space="preserve"> hatása nélkül</w:t>
            </w:r>
          </w:p>
        </w:tc>
      </w:tr>
      <w:tr w:rsidR="00F808E9" w:rsidRPr="00191B6F" w14:paraId="14AC52B1" w14:textId="77777777" w:rsidTr="00B771E2">
        <w:tc>
          <w:tcPr>
            <w:tcW w:w="905" w:type="dxa"/>
            <w:shd w:val="clear" w:color="auto" w:fill="auto"/>
            <w:tcMar>
              <w:top w:w="85" w:type="dxa"/>
            </w:tcMar>
            <w:vAlign w:val="center"/>
          </w:tcPr>
          <w:p w14:paraId="3F04E93A" w14:textId="7000F512" w:rsidR="00F808E9" w:rsidRPr="00191B6F" w:rsidRDefault="00F808E9" w:rsidP="00586BFC">
            <w:pPr>
              <w:contextualSpacing/>
              <w:rPr>
                <w:rFonts w:ascii="Arial" w:hAnsi="Arial" w:cs="Arial"/>
                <w:sz w:val="20"/>
                <w:szCs w:val="20"/>
              </w:rPr>
            </w:pPr>
            <w:r w:rsidRPr="00191B6F">
              <w:rPr>
                <w:rFonts w:ascii="Arial" w:hAnsi="Arial" w:cs="Arial"/>
                <w:sz w:val="20"/>
                <w:szCs w:val="20"/>
              </w:rPr>
              <w:t>01</w:t>
            </w:r>
            <w:r>
              <w:rPr>
                <w:rFonts w:ascii="Arial" w:hAnsi="Arial" w:cs="Arial"/>
                <w:sz w:val="20"/>
                <w:szCs w:val="20"/>
              </w:rPr>
              <w:t>5</w:t>
            </w:r>
          </w:p>
        </w:tc>
        <w:tc>
          <w:tcPr>
            <w:tcW w:w="1217" w:type="dxa"/>
            <w:vAlign w:val="center"/>
          </w:tcPr>
          <w:p w14:paraId="3A741E01" w14:textId="77777777" w:rsidR="00F808E9" w:rsidRDefault="00F808E9" w:rsidP="00586BFC">
            <w:pPr>
              <w:contextualSpacing/>
              <w:rPr>
                <w:rFonts w:ascii="Arial" w:hAnsi="Arial" w:cs="Arial"/>
                <w:sz w:val="20"/>
                <w:szCs w:val="20"/>
              </w:rPr>
            </w:pPr>
            <w:r>
              <w:rPr>
                <w:rFonts w:ascii="Arial" w:hAnsi="Arial" w:cs="Arial"/>
                <w:sz w:val="20"/>
                <w:szCs w:val="20"/>
              </w:rPr>
              <w:t>1.1.</w:t>
            </w:r>
          </w:p>
        </w:tc>
        <w:tc>
          <w:tcPr>
            <w:tcW w:w="3385" w:type="dxa"/>
            <w:shd w:val="clear" w:color="auto" w:fill="auto"/>
            <w:tcMar>
              <w:top w:w="85" w:type="dxa"/>
            </w:tcMar>
            <w:vAlign w:val="center"/>
          </w:tcPr>
          <w:p w14:paraId="13AFCE3A" w14:textId="2A367298" w:rsidR="00F808E9" w:rsidRPr="00191B6F" w:rsidRDefault="00F808E9" w:rsidP="00586BFC">
            <w:pPr>
              <w:contextualSpacing/>
              <w:jc w:val="both"/>
              <w:rPr>
                <w:rFonts w:ascii="Arial" w:hAnsi="Arial" w:cs="Arial"/>
                <w:sz w:val="20"/>
                <w:szCs w:val="20"/>
              </w:rPr>
            </w:pPr>
            <w:r>
              <w:rPr>
                <w:rFonts w:ascii="Arial" w:hAnsi="Arial" w:cs="Arial"/>
                <w:sz w:val="20"/>
                <w:szCs w:val="20"/>
              </w:rPr>
              <w:t xml:space="preserve">Háztartásoknak és nem pénzügyi vállalatoknak nyújtott hitelek és előlegek </w:t>
            </w:r>
            <w:r w:rsidRPr="00F808E9">
              <w:rPr>
                <w:rFonts w:ascii="Arial" w:hAnsi="Arial" w:cs="Arial"/>
                <w:sz w:val="20"/>
                <w:szCs w:val="20"/>
              </w:rPr>
              <w:t>(fordított visszavásárlási hitelek kivételével)</w:t>
            </w:r>
          </w:p>
        </w:tc>
        <w:tc>
          <w:tcPr>
            <w:tcW w:w="3957" w:type="dxa"/>
            <w:shd w:val="clear" w:color="auto" w:fill="auto"/>
            <w:tcMar>
              <w:top w:w="85" w:type="dxa"/>
            </w:tcMar>
            <w:vAlign w:val="center"/>
          </w:tcPr>
          <w:p w14:paraId="5A8753F2" w14:textId="77777777" w:rsidR="00F808E9" w:rsidRPr="00191B6F" w:rsidRDefault="00F808E9" w:rsidP="00586BFC">
            <w:pPr>
              <w:contextualSpacing/>
              <w:rPr>
                <w:rFonts w:ascii="Arial" w:hAnsi="Arial" w:cs="Arial"/>
                <w:sz w:val="20"/>
                <w:szCs w:val="20"/>
              </w:rPr>
            </w:pPr>
            <w:r>
              <w:rPr>
                <w:rFonts w:ascii="Arial" w:hAnsi="Arial" w:cs="Arial"/>
                <w:sz w:val="20"/>
                <w:szCs w:val="20"/>
              </w:rPr>
              <w:t>lásd P_01.01. tábla 040. + 110. sor</w:t>
            </w:r>
          </w:p>
        </w:tc>
      </w:tr>
      <w:tr w:rsidR="008D0BFA" w:rsidRPr="00191B6F" w14:paraId="72D99992" w14:textId="77777777" w:rsidTr="00B771E2">
        <w:tc>
          <w:tcPr>
            <w:tcW w:w="905" w:type="dxa"/>
            <w:shd w:val="clear" w:color="auto" w:fill="auto"/>
            <w:tcMar>
              <w:top w:w="85" w:type="dxa"/>
            </w:tcMar>
            <w:vAlign w:val="center"/>
          </w:tcPr>
          <w:p w14:paraId="44BFF288" w14:textId="14AED7E6" w:rsidR="008D0BFA" w:rsidRPr="00191B6F" w:rsidDel="008D0BFA" w:rsidRDefault="008D0BFA" w:rsidP="00D16669">
            <w:pPr>
              <w:contextualSpacing/>
              <w:rPr>
                <w:rFonts w:ascii="Arial" w:hAnsi="Arial" w:cs="Arial"/>
                <w:sz w:val="20"/>
                <w:szCs w:val="20"/>
              </w:rPr>
            </w:pPr>
            <w:r w:rsidRPr="00191B6F">
              <w:rPr>
                <w:rFonts w:ascii="Arial" w:hAnsi="Arial" w:cs="Arial"/>
                <w:sz w:val="20"/>
                <w:szCs w:val="20"/>
              </w:rPr>
              <w:t>03</w:t>
            </w:r>
            <w:r>
              <w:rPr>
                <w:rFonts w:ascii="Arial" w:hAnsi="Arial" w:cs="Arial"/>
                <w:sz w:val="20"/>
                <w:szCs w:val="20"/>
              </w:rPr>
              <w:t>2</w:t>
            </w:r>
          </w:p>
        </w:tc>
        <w:tc>
          <w:tcPr>
            <w:tcW w:w="1217" w:type="dxa"/>
            <w:vAlign w:val="center"/>
          </w:tcPr>
          <w:p w14:paraId="12C823AD" w14:textId="57E4C33B" w:rsidR="008D0BFA" w:rsidDel="008D0BFA" w:rsidRDefault="008D0BFA" w:rsidP="00D16669">
            <w:pPr>
              <w:contextualSpacing/>
              <w:rPr>
                <w:rFonts w:ascii="Arial" w:hAnsi="Arial" w:cs="Arial"/>
                <w:sz w:val="20"/>
                <w:szCs w:val="20"/>
              </w:rPr>
            </w:pPr>
            <w:r>
              <w:rPr>
                <w:rFonts w:ascii="Arial" w:hAnsi="Arial" w:cs="Arial"/>
                <w:sz w:val="20"/>
                <w:szCs w:val="20"/>
              </w:rPr>
              <w:t>1.2.</w:t>
            </w:r>
          </w:p>
        </w:tc>
        <w:tc>
          <w:tcPr>
            <w:tcW w:w="3385" w:type="dxa"/>
            <w:shd w:val="clear" w:color="auto" w:fill="auto"/>
            <w:tcMar>
              <w:top w:w="85" w:type="dxa"/>
            </w:tcMar>
            <w:vAlign w:val="center"/>
          </w:tcPr>
          <w:p w14:paraId="230D5647" w14:textId="0BCD9DF1" w:rsidR="008D0BFA" w:rsidDel="008D0BFA" w:rsidRDefault="008D0BFA" w:rsidP="00D16669">
            <w:pPr>
              <w:contextualSpacing/>
              <w:jc w:val="both"/>
              <w:rPr>
                <w:rFonts w:ascii="Arial" w:hAnsi="Arial" w:cs="Arial"/>
                <w:sz w:val="20"/>
                <w:szCs w:val="20"/>
              </w:rPr>
            </w:pPr>
            <w:r w:rsidRPr="008D0BFA">
              <w:rPr>
                <w:rFonts w:ascii="Arial" w:hAnsi="Arial" w:cs="Arial"/>
                <w:sz w:val="20"/>
                <w:szCs w:val="20"/>
              </w:rPr>
              <w:t>Hitelintézeteknek nyújtott hitelek és előlegek (fordított visszavásárlási hitelek kivételével)</w:t>
            </w:r>
          </w:p>
        </w:tc>
        <w:tc>
          <w:tcPr>
            <w:tcW w:w="3957" w:type="dxa"/>
            <w:shd w:val="clear" w:color="auto" w:fill="auto"/>
            <w:tcMar>
              <w:top w:w="85" w:type="dxa"/>
            </w:tcMar>
            <w:vAlign w:val="center"/>
          </w:tcPr>
          <w:p w14:paraId="51B39EA2" w14:textId="04F4FD6D" w:rsidR="008D0BFA" w:rsidDel="008D0BFA" w:rsidRDefault="0064158A" w:rsidP="00D16669">
            <w:pPr>
              <w:contextualSpacing/>
              <w:rPr>
                <w:rFonts w:ascii="Arial" w:hAnsi="Arial" w:cs="Arial"/>
                <w:sz w:val="20"/>
                <w:szCs w:val="20"/>
              </w:rPr>
            </w:pPr>
            <w:r>
              <w:rPr>
                <w:rFonts w:ascii="Arial" w:hAnsi="Arial" w:cs="Arial"/>
                <w:sz w:val="20"/>
                <w:szCs w:val="20"/>
              </w:rPr>
              <w:t>lásd P_01.01. tábla 180. sor</w:t>
            </w:r>
          </w:p>
        </w:tc>
      </w:tr>
      <w:tr w:rsidR="008D0BFA" w:rsidRPr="00191B6F" w14:paraId="2CE625AA" w14:textId="77777777" w:rsidTr="00B771E2">
        <w:tc>
          <w:tcPr>
            <w:tcW w:w="905" w:type="dxa"/>
            <w:shd w:val="clear" w:color="auto" w:fill="auto"/>
            <w:tcMar>
              <w:top w:w="85" w:type="dxa"/>
            </w:tcMar>
            <w:vAlign w:val="center"/>
          </w:tcPr>
          <w:p w14:paraId="1354ADA3" w14:textId="4B704077" w:rsidR="008D0BFA" w:rsidRPr="00191B6F" w:rsidRDefault="008D0BFA" w:rsidP="00D16669">
            <w:pPr>
              <w:contextualSpacing/>
              <w:rPr>
                <w:rFonts w:ascii="Arial" w:hAnsi="Arial" w:cs="Arial"/>
                <w:sz w:val="20"/>
                <w:szCs w:val="20"/>
              </w:rPr>
            </w:pPr>
            <w:r w:rsidRPr="00191B6F">
              <w:rPr>
                <w:rFonts w:ascii="Arial" w:hAnsi="Arial" w:cs="Arial"/>
                <w:sz w:val="20"/>
                <w:szCs w:val="20"/>
              </w:rPr>
              <w:t>03</w:t>
            </w:r>
            <w:r>
              <w:rPr>
                <w:rFonts w:ascii="Arial" w:hAnsi="Arial" w:cs="Arial"/>
                <w:sz w:val="20"/>
                <w:szCs w:val="20"/>
              </w:rPr>
              <w:t>5</w:t>
            </w:r>
          </w:p>
        </w:tc>
        <w:tc>
          <w:tcPr>
            <w:tcW w:w="1217" w:type="dxa"/>
            <w:vAlign w:val="center"/>
          </w:tcPr>
          <w:p w14:paraId="3295F45F" w14:textId="5BDC56C6" w:rsidR="008D0BFA" w:rsidRDefault="008D0BFA" w:rsidP="00D16669">
            <w:pPr>
              <w:contextualSpacing/>
              <w:rPr>
                <w:rFonts w:ascii="Arial" w:hAnsi="Arial" w:cs="Arial"/>
                <w:sz w:val="20"/>
                <w:szCs w:val="20"/>
              </w:rPr>
            </w:pPr>
            <w:r>
              <w:rPr>
                <w:rFonts w:ascii="Arial" w:hAnsi="Arial" w:cs="Arial"/>
                <w:sz w:val="20"/>
                <w:szCs w:val="20"/>
              </w:rPr>
              <w:t>1.3</w:t>
            </w:r>
            <w:r w:rsidR="00521A47">
              <w:rPr>
                <w:rFonts w:ascii="Arial" w:hAnsi="Arial" w:cs="Arial"/>
                <w:sz w:val="20"/>
                <w:szCs w:val="20"/>
              </w:rPr>
              <w:t>.</w:t>
            </w:r>
          </w:p>
        </w:tc>
        <w:tc>
          <w:tcPr>
            <w:tcW w:w="3385" w:type="dxa"/>
            <w:shd w:val="clear" w:color="auto" w:fill="auto"/>
            <w:tcMar>
              <w:top w:w="85" w:type="dxa"/>
            </w:tcMar>
            <w:vAlign w:val="center"/>
          </w:tcPr>
          <w:p w14:paraId="3DCCB628" w14:textId="573343ED" w:rsidR="008D0BFA" w:rsidRPr="008D0BFA" w:rsidRDefault="008D0BFA" w:rsidP="00D16669">
            <w:pPr>
              <w:contextualSpacing/>
              <w:jc w:val="both"/>
              <w:rPr>
                <w:rFonts w:ascii="Arial" w:hAnsi="Arial" w:cs="Arial"/>
                <w:sz w:val="20"/>
                <w:szCs w:val="20"/>
              </w:rPr>
            </w:pPr>
            <w:r w:rsidRPr="008D0BFA">
              <w:rPr>
                <w:rFonts w:ascii="Arial" w:hAnsi="Arial" w:cs="Arial"/>
                <w:sz w:val="20"/>
                <w:szCs w:val="20"/>
              </w:rPr>
              <w:t>Egyéb pénzügyi vállalatoknak nyújtott hitelek és előlegek (fordított visszavásárlási hitelek kivételével)</w:t>
            </w:r>
          </w:p>
        </w:tc>
        <w:tc>
          <w:tcPr>
            <w:tcW w:w="3957" w:type="dxa"/>
            <w:shd w:val="clear" w:color="auto" w:fill="auto"/>
            <w:tcMar>
              <w:top w:w="85" w:type="dxa"/>
            </w:tcMar>
            <w:vAlign w:val="center"/>
          </w:tcPr>
          <w:p w14:paraId="7174E79B" w14:textId="4B3227C5" w:rsidR="008D0BFA" w:rsidDel="008D0BFA" w:rsidRDefault="0064158A" w:rsidP="00D16669">
            <w:pPr>
              <w:contextualSpacing/>
              <w:rPr>
                <w:rFonts w:ascii="Arial" w:hAnsi="Arial" w:cs="Arial"/>
                <w:sz w:val="20"/>
                <w:szCs w:val="20"/>
              </w:rPr>
            </w:pPr>
            <w:r>
              <w:rPr>
                <w:rFonts w:ascii="Arial" w:hAnsi="Arial" w:cs="Arial"/>
                <w:sz w:val="20"/>
                <w:szCs w:val="20"/>
              </w:rPr>
              <w:t>lásd P_01.01. tábla 190. sor</w:t>
            </w:r>
          </w:p>
        </w:tc>
      </w:tr>
      <w:tr w:rsidR="0064158A" w:rsidRPr="00191B6F" w14:paraId="77DF16BB" w14:textId="77777777" w:rsidTr="00B771E2">
        <w:tc>
          <w:tcPr>
            <w:tcW w:w="905" w:type="dxa"/>
            <w:shd w:val="clear" w:color="auto" w:fill="auto"/>
            <w:tcMar>
              <w:top w:w="85" w:type="dxa"/>
            </w:tcMar>
            <w:vAlign w:val="center"/>
          </w:tcPr>
          <w:p w14:paraId="392B75F0" w14:textId="6E9911ED" w:rsidR="0064158A" w:rsidRPr="00191B6F" w:rsidRDefault="0064158A" w:rsidP="0064158A">
            <w:pPr>
              <w:contextualSpacing/>
              <w:rPr>
                <w:rFonts w:ascii="Arial" w:hAnsi="Arial" w:cs="Arial"/>
                <w:sz w:val="20"/>
                <w:szCs w:val="20"/>
              </w:rPr>
            </w:pPr>
            <w:r>
              <w:rPr>
                <w:rFonts w:ascii="Arial" w:hAnsi="Arial" w:cs="Arial"/>
                <w:sz w:val="20"/>
                <w:szCs w:val="20"/>
              </w:rPr>
              <w:t>037</w:t>
            </w:r>
          </w:p>
        </w:tc>
        <w:tc>
          <w:tcPr>
            <w:tcW w:w="1217" w:type="dxa"/>
            <w:vAlign w:val="center"/>
          </w:tcPr>
          <w:p w14:paraId="53585553" w14:textId="4177F7D2" w:rsidR="0064158A" w:rsidRDefault="0064158A" w:rsidP="0064158A">
            <w:pPr>
              <w:contextualSpacing/>
              <w:rPr>
                <w:rFonts w:ascii="Arial" w:hAnsi="Arial" w:cs="Arial"/>
                <w:sz w:val="20"/>
                <w:szCs w:val="20"/>
              </w:rPr>
            </w:pPr>
            <w:r>
              <w:rPr>
                <w:rFonts w:ascii="Arial" w:hAnsi="Arial" w:cs="Arial"/>
                <w:sz w:val="20"/>
                <w:szCs w:val="20"/>
              </w:rPr>
              <w:t>1.4.</w:t>
            </w:r>
          </w:p>
        </w:tc>
        <w:tc>
          <w:tcPr>
            <w:tcW w:w="3385" w:type="dxa"/>
            <w:shd w:val="clear" w:color="auto" w:fill="auto"/>
            <w:tcMar>
              <w:top w:w="85" w:type="dxa"/>
            </w:tcMar>
            <w:vAlign w:val="center"/>
          </w:tcPr>
          <w:p w14:paraId="7ECE2285" w14:textId="0F16719E" w:rsidR="0064158A" w:rsidRPr="008D0BFA" w:rsidRDefault="0064158A" w:rsidP="004F5330">
            <w:pPr>
              <w:contextualSpacing/>
              <w:rPr>
                <w:rFonts w:ascii="Arial" w:hAnsi="Arial" w:cs="Arial"/>
                <w:sz w:val="20"/>
                <w:szCs w:val="20"/>
              </w:rPr>
            </w:pPr>
            <w:r w:rsidRPr="008D0BFA">
              <w:rPr>
                <w:rFonts w:ascii="Arial" w:hAnsi="Arial" w:cs="Arial"/>
                <w:sz w:val="20"/>
                <w:szCs w:val="20"/>
              </w:rPr>
              <w:t>Hitelviszonyt megtestesítő értékpapírok</w:t>
            </w:r>
          </w:p>
        </w:tc>
        <w:tc>
          <w:tcPr>
            <w:tcW w:w="3957" w:type="dxa"/>
            <w:shd w:val="clear" w:color="auto" w:fill="auto"/>
            <w:tcMar>
              <w:top w:w="85" w:type="dxa"/>
            </w:tcMar>
            <w:vAlign w:val="center"/>
          </w:tcPr>
          <w:p w14:paraId="450F528F" w14:textId="49C97901" w:rsidR="0064158A" w:rsidDel="008D0BFA" w:rsidRDefault="0064158A" w:rsidP="0064158A">
            <w:pPr>
              <w:contextualSpacing/>
              <w:rPr>
                <w:rFonts w:ascii="Arial" w:hAnsi="Arial" w:cs="Arial"/>
                <w:sz w:val="20"/>
                <w:szCs w:val="20"/>
              </w:rPr>
            </w:pPr>
            <w:r>
              <w:rPr>
                <w:rFonts w:ascii="Arial" w:hAnsi="Arial" w:cs="Arial"/>
                <w:sz w:val="20"/>
                <w:szCs w:val="20"/>
              </w:rPr>
              <w:t>lásd P_01.01. tábla 205. sor</w:t>
            </w:r>
          </w:p>
        </w:tc>
      </w:tr>
      <w:tr w:rsidR="0064158A" w:rsidRPr="00191B6F" w14:paraId="3872DE34" w14:textId="77777777" w:rsidTr="00B771E2">
        <w:tc>
          <w:tcPr>
            <w:tcW w:w="905" w:type="dxa"/>
            <w:shd w:val="clear" w:color="auto" w:fill="auto"/>
            <w:tcMar>
              <w:top w:w="85" w:type="dxa"/>
            </w:tcMar>
            <w:vAlign w:val="center"/>
          </w:tcPr>
          <w:p w14:paraId="4B9BE7A0" w14:textId="4E4D4561" w:rsidR="0064158A" w:rsidRPr="00191B6F" w:rsidRDefault="0064158A" w:rsidP="0064158A">
            <w:pPr>
              <w:contextualSpacing/>
              <w:rPr>
                <w:rFonts w:ascii="Arial" w:hAnsi="Arial" w:cs="Arial"/>
                <w:sz w:val="20"/>
                <w:szCs w:val="20"/>
              </w:rPr>
            </w:pPr>
            <w:r>
              <w:rPr>
                <w:rFonts w:ascii="Arial" w:hAnsi="Arial" w:cs="Arial"/>
                <w:sz w:val="20"/>
                <w:szCs w:val="20"/>
              </w:rPr>
              <w:t>038</w:t>
            </w:r>
          </w:p>
        </w:tc>
        <w:tc>
          <w:tcPr>
            <w:tcW w:w="1217" w:type="dxa"/>
            <w:vAlign w:val="center"/>
          </w:tcPr>
          <w:p w14:paraId="3711B8F8" w14:textId="40D00BC1" w:rsidR="0064158A" w:rsidRDefault="0064158A" w:rsidP="0064158A">
            <w:pPr>
              <w:contextualSpacing/>
              <w:rPr>
                <w:rFonts w:ascii="Arial" w:hAnsi="Arial" w:cs="Arial"/>
                <w:sz w:val="20"/>
                <w:szCs w:val="20"/>
              </w:rPr>
            </w:pPr>
            <w:r>
              <w:rPr>
                <w:rFonts w:ascii="Arial" w:hAnsi="Arial" w:cs="Arial"/>
                <w:sz w:val="20"/>
                <w:szCs w:val="20"/>
              </w:rPr>
              <w:t>1.5.</w:t>
            </w:r>
          </w:p>
        </w:tc>
        <w:tc>
          <w:tcPr>
            <w:tcW w:w="3385" w:type="dxa"/>
            <w:shd w:val="clear" w:color="auto" w:fill="auto"/>
            <w:tcMar>
              <w:top w:w="85" w:type="dxa"/>
            </w:tcMar>
            <w:vAlign w:val="center"/>
          </w:tcPr>
          <w:p w14:paraId="3DF1E5C0" w14:textId="2AA7FEB6" w:rsidR="0064158A" w:rsidRPr="008D0BFA" w:rsidRDefault="0064158A" w:rsidP="0064158A">
            <w:pPr>
              <w:contextualSpacing/>
              <w:jc w:val="both"/>
              <w:rPr>
                <w:rFonts w:ascii="Arial" w:hAnsi="Arial" w:cs="Arial"/>
                <w:sz w:val="20"/>
                <w:szCs w:val="20"/>
              </w:rPr>
            </w:pPr>
            <w:r w:rsidRPr="008D0BFA">
              <w:rPr>
                <w:rFonts w:ascii="Arial" w:hAnsi="Arial" w:cs="Arial"/>
                <w:sz w:val="20"/>
                <w:szCs w:val="20"/>
              </w:rPr>
              <w:t>Egyéb pénzügyi eszközök</w:t>
            </w:r>
          </w:p>
        </w:tc>
        <w:tc>
          <w:tcPr>
            <w:tcW w:w="3957" w:type="dxa"/>
            <w:shd w:val="clear" w:color="auto" w:fill="auto"/>
            <w:tcMar>
              <w:top w:w="85" w:type="dxa"/>
            </w:tcMar>
            <w:vAlign w:val="center"/>
          </w:tcPr>
          <w:p w14:paraId="0407C08F" w14:textId="6F326A8F" w:rsidR="0064158A" w:rsidDel="008D0BFA" w:rsidRDefault="003C3594" w:rsidP="00883E29">
            <w:pPr>
              <w:contextualSpacing/>
              <w:jc w:val="both"/>
              <w:rPr>
                <w:rFonts w:ascii="Arial" w:hAnsi="Arial" w:cs="Arial"/>
                <w:sz w:val="20"/>
                <w:szCs w:val="20"/>
              </w:rPr>
            </w:pPr>
            <w:r w:rsidRPr="003E72BE">
              <w:rPr>
                <w:rFonts w:ascii="Arial" w:hAnsi="Arial" w:cs="Arial"/>
                <w:color w:val="000000"/>
                <w:sz w:val="20"/>
                <w:szCs w:val="20"/>
              </w:rPr>
              <w:t>Azokat a pénzügyi eszközöket tartalmazza, amelyek nem szerepelnek a 015–037 sorban, és amelyek szintén a megfelelő jelentős vagy jelentéstételi pénznemben vannak denominálva, ideértve az adott pénznemben lévő tőkeinstrumentumokba történő befektetéseket is.</w:t>
            </w:r>
          </w:p>
        </w:tc>
      </w:tr>
      <w:tr w:rsidR="0064158A" w:rsidRPr="00191B6F" w14:paraId="2177E3E3" w14:textId="77777777" w:rsidTr="00B771E2">
        <w:tc>
          <w:tcPr>
            <w:tcW w:w="905" w:type="dxa"/>
            <w:shd w:val="clear" w:color="auto" w:fill="auto"/>
            <w:tcMar>
              <w:top w:w="85" w:type="dxa"/>
            </w:tcMar>
            <w:vAlign w:val="center"/>
          </w:tcPr>
          <w:p w14:paraId="2EEA5133" w14:textId="245F7B35" w:rsidR="0064158A" w:rsidRPr="00191B6F" w:rsidRDefault="0064158A" w:rsidP="0064158A">
            <w:pPr>
              <w:contextualSpacing/>
              <w:rPr>
                <w:rFonts w:ascii="Arial" w:hAnsi="Arial" w:cs="Arial"/>
                <w:sz w:val="20"/>
                <w:szCs w:val="20"/>
              </w:rPr>
            </w:pPr>
            <w:r>
              <w:rPr>
                <w:rFonts w:ascii="Arial" w:hAnsi="Arial" w:cs="Arial"/>
                <w:sz w:val="20"/>
                <w:szCs w:val="20"/>
              </w:rPr>
              <w:lastRenderedPageBreak/>
              <w:t>039</w:t>
            </w:r>
          </w:p>
        </w:tc>
        <w:tc>
          <w:tcPr>
            <w:tcW w:w="1217" w:type="dxa"/>
            <w:vAlign w:val="center"/>
          </w:tcPr>
          <w:p w14:paraId="6E39D975" w14:textId="77777777" w:rsidR="0064158A" w:rsidRDefault="0064158A" w:rsidP="0064158A">
            <w:pPr>
              <w:contextualSpacing/>
              <w:rPr>
                <w:rFonts w:ascii="Arial" w:hAnsi="Arial" w:cs="Arial"/>
                <w:sz w:val="20"/>
                <w:szCs w:val="20"/>
              </w:rPr>
            </w:pPr>
            <w:r>
              <w:rPr>
                <w:rFonts w:ascii="Arial" w:hAnsi="Arial" w:cs="Arial"/>
                <w:sz w:val="20"/>
                <w:szCs w:val="20"/>
              </w:rPr>
              <w:t>2.</w:t>
            </w:r>
          </w:p>
        </w:tc>
        <w:tc>
          <w:tcPr>
            <w:tcW w:w="7342" w:type="dxa"/>
            <w:gridSpan w:val="2"/>
            <w:shd w:val="clear" w:color="auto" w:fill="auto"/>
            <w:tcMar>
              <w:top w:w="85" w:type="dxa"/>
            </w:tcMar>
            <w:vAlign w:val="center"/>
          </w:tcPr>
          <w:p w14:paraId="3C5845BB" w14:textId="20A8BE21" w:rsidR="0064158A" w:rsidRPr="00191B6F" w:rsidRDefault="0064158A" w:rsidP="00883E29">
            <w:pPr>
              <w:contextualSpacing/>
              <w:jc w:val="both"/>
              <w:rPr>
                <w:rFonts w:ascii="Arial" w:hAnsi="Arial" w:cs="Arial"/>
                <w:sz w:val="20"/>
                <w:szCs w:val="20"/>
              </w:rPr>
            </w:pPr>
            <w:r>
              <w:rPr>
                <w:rFonts w:ascii="Arial" w:hAnsi="Arial" w:cs="Arial"/>
                <w:sz w:val="20"/>
                <w:szCs w:val="20"/>
              </w:rPr>
              <w:t>Bruttó betétek és egyéb pénzügyi kötelezettségek - a határidős devizaügyletek, keresztdevizás csereügyletek vagy egyéb fedezeti ügyletek hatása nélkül</w:t>
            </w:r>
          </w:p>
        </w:tc>
      </w:tr>
      <w:tr w:rsidR="0064158A" w:rsidRPr="00191B6F" w14:paraId="7A00831F" w14:textId="77777777" w:rsidTr="00B771E2">
        <w:tc>
          <w:tcPr>
            <w:tcW w:w="905" w:type="dxa"/>
            <w:shd w:val="clear" w:color="auto" w:fill="auto"/>
            <w:tcMar>
              <w:top w:w="85" w:type="dxa"/>
            </w:tcMar>
            <w:vAlign w:val="center"/>
          </w:tcPr>
          <w:p w14:paraId="48F92438" w14:textId="510D7DA7" w:rsidR="0064158A" w:rsidRPr="00191B6F" w:rsidRDefault="0064158A" w:rsidP="0064158A">
            <w:pPr>
              <w:contextualSpacing/>
              <w:rPr>
                <w:rFonts w:ascii="Arial" w:hAnsi="Arial" w:cs="Arial"/>
                <w:sz w:val="20"/>
                <w:szCs w:val="20"/>
              </w:rPr>
            </w:pPr>
            <w:r>
              <w:rPr>
                <w:rFonts w:ascii="Arial" w:hAnsi="Arial" w:cs="Arial"/>
                <w:sz w:val="20"/>
                <w:szCs w:val="20"/>
              </w:rPr>
              <w:t>045</w:t>
            </w:r>
          </w:p>
        </w:tc>
        <w:tc>
          <w:tcPr>
            <w:tcW w:w="1217" w:type="dxa"/>
            <w:vAlign w:val="center"/>
          </w:tcPr>
          <w:p w14:paraId="18EF4227" w14:textId="603D5545" w:rsidR="0064158A" w:rsidRDefault="0064158A" w:rsidP="0064158A">
            <w:pPr>
              <w:contextualSpacing/>
              <w:rPr>
                <w:rFonts w:ascii="Arial" w:hAnsi="Arial" w:cs="Arial"/>
                <w:sz w:val="20"/>
                <w:szCs w:val="20"/>
              </w:rPr>
            </w:pPr>
            <w:r>
              <w:rPr>
                <w:rFonts w:ascii="Arial" w:hAnsi="Arial" w:cs="Arial"/>
                <w:sz w:val="20"/>
                <w:szCs w:val="20"/>
              </w:rPr>
              <w:t>2.1</w:t>
            </w:r>
            <w:r w:rsidR="00CA0744">
              <w:rPr>
                <w:rFonts w:ascii="Arial" w:hAnsi="Arial" w:cs="Arial"/>
                <w:sz w:val="20"/>
                <w:szCs w:val="20"/>
              </w:rPr>
              <w:t>.</w:t>
            </w:r>
          </w:p>
        </w:tc>
        <w:tc>
          <w:tcPr>
            <w:tcW w:w="3385" w:type="dxa"/>
            <w:shd w:val="clear" w:color="auto" w:fill="auto"/>
            <w:tcMar>
              <w:top w:w="85" w:type="dxa"/>
            </w:tcMar>
            <w:vAlign w:val="center"/>
          </w:tcPr>
          <w:p w14:paraId="2DC9826C" w14:textId="7EAEC6FC" w:rsidR="0064158A" w:rsidRDefault="0064158A" w:rsidP="006A358C">
            <w:pPr>
              <w:contextualSpacing/>
              <w:jc w:val="both"/>
              <w:rPr>
                <w:rFonts w:ascii="Arial" w:hAnsi="Arial" w:cs="Arial"/>
                <w:sz w:val="20"/>
                <w:szCs w:val="20"/>
              </w:rPr>
            </w:pPr>
            <w:r w:rsidRPr="008D0BFA">
              <w:rPr>
                <w:rFonts w:ascii="Arial" w:hAnsi="Arial" w:cs="Arial"/>
                <w:sz w:val="20"/>
                <w:szCs w:val="20"/>
              </w:rPr>
              <w:t>Háztartásoktól és nem pénzügyi vállalatoktól kapott betétek (visszavásárlási megállapodások kivételével)</w:t>
            </w:r>
          </w:p>
        </w:tc>
        <w:tc>
          <w:tcPr>
            <w:tcW w:w="3957" w:type="dxa"/>
            <w:shd w:val="clear" w:color="auto" w:fill="auto"/>
            <w:tcMar>
              <w:top w:w="85" w:type="dxa"/>
            </w:tcMar>
            <w:vAlign w:val="center"/>
          </w:tcPr>
          <w:p w14:paraId="269D422D" w14:textId="6CAB202F" w:rsidR="0064158A" w:rsidRDefault="0064158A" w:rsidP="0064158A">
            <w:pPr>
              <w:contextualSpacing/>
              <w:rPr>
                <w:rFonts w:ascii="Arial" w:hAnsi="Arial" w:cs="Arial"/>
                <w:sz w:val="20"/>
                <w:szCs w:val="20"/>
              </w:rPr>
            </w:pPr>
            <w:r>
              <w:rPr>
                <w:rFonts w:ascii="Arial" w:hAnsi="Arial" w:cs="Arial"/>
                <w:sz w:val="20"/>
                <w:szCs w:val="20"/>
              </w:rPr>
              <w:t>lásd P_01.02. tábla 020 és 060 sorok</w:t>
            </w:r>
          </w:p>
        </w:tc>
      </w:tr>
      <w:tr w:rsidR="0064158A" w:rsidRPr="00191B6F" w14:paraId="1D73A764" w14:textId="77777777" w:rsidTr="00B771E2">
        <w:tc>
          <w:tcPr>
            <w:tcW w:w="905" w:type="dxa"/>
            <w:shd w:val="clear" w:color="auto" w:fill="auto"/>
            <w:tcMar>
              <w:top w:w="85" w:type="dxa"/>
            </w:tcMar>
            <w:vAlign w:val="center"/>
          </w:tcPr>
          <w:p w14:paraId="32CBDD9B" w14:textId="69B5F481" w:rsidR="0064158A" w:rsidRDefault="0064158A" w:rsidP="0064158A">
            <w:pPr>
              <w:contextualSpacing/>
              <w:rPr>
                <w:rFonts w:ascii="Arial" w:hAnsi="Arial" w:cs="Arial"/>
                <w:sz w:val="20"/>
                <w:szCs w:val="20"/>
              </w:rPr>
            </w:pPr>
            <w:r>
              <w:rPr>
                <w:rFonts w:ascii="Arial" w:hAnsi="Arial" w:cs="Arial"/>
                <w:sz w:val="20"/>
                <w:szCs w:val="20"/>
              </w:rPr>
              <w:t>062</w:t>
            </w:r>
          </w:p>
        </w:tc>
        <w:tc>
          <w:tcPr>
            <w:tcW w:w="1217" w:type="dxa"/>
            <w:vAlign w:val="center"/>
          </w:tcPr>
          <w:p w14:paraId="5201434C" w14:textId="2EF9C319" w:rsidR="0064158A" w:rsidRDefault="0064158A" w:rsidP="0064158A">
            <w:pPr>
              <w:contextualSpacing/>
              <w:rPr>
                <w:rFonts w:ascii="Arial" w:hAnsi="Arial" w:cs="Arial"/>
                <w:sz w:val="20"/>
                <w:szCs w:val="20"/>
              </w:rPr>
            </w:pPr>
            <w:r>
              <w:rPr>
                <w:rFonts w:ascii="Arial" w:hAnsi="Arial" w:cs="Arial"/>
                <w:sz w:val="20"/>
                <w:szCs w:val="20"/>
              </w:rPr>
              <w:t>2.2</w:t>
            </w:r>
            <w:r w:rsidR="00521A47">
              <w:rPr>
                <w:rFonts w:ascii="Arial" w:hAnsi="Arial" w:cs="Arial"/>
                <w:sz w:val="20"/>
                <w:szCs w:val="20"/>
              </w:rPr>
              <w:t>.</w:t>
            </w:r>
          </w:p>
        </w:tc>
        <w:tc>
          <w:tcPr>
            <w:tcW w:w="3385" w:type="dxa"/>
            <w:shd w:val="clear" w:color="auto" w:fill="auto"/>
            <w:tcMar>
              <w:top w:w="85" w:type="dxa"/>
            </w:tcMar>
            <w:vAlign w:val="center"/>
          </w:tcPr>
          <w:p w14:paraId="157F9919" w14:textId="2B925EB5" w:rsidR="0064158A" w:rsidRDefault="0064158A" w:rsidP="0064158A">
            <w:pPr>
              <w:contextualSpacing/>
              <w:jc w:val="both"/>
              <w:rPr>
                <w:rFonts w:ascii="Arial" w:hAnsi="Arial" w:cs="Arial"/>
                <w:sz w:val="20"/>
                <w:szCs w:val="20"/>
              </w:rPr>
            </w:pPr>
            <w:r w:rsidRPr="008D0BFA">
              <w:rPr>
                <w:rFonts w:ascii="Arial" w:hAnsi="Arial" w:cs="Arial"/>
                <w:sz w:val="20"/>
                <w:szCs w:val="20"/>
              </w:rPr>
              <w:t>Hitelintézetektől kapott betétek (visszavásárlási megállapodások kivételével)</w:t>
            </w:r>
          </w:p>
        </w:tc>
        <w:tc>
          <w:tcPr>
            <w:tcW w:w="3957" w:type="dxa"/>
            <w:shd w:val="clear" w:color="auto" w:fill="auto"/>
            <w:tcMar>
              <w:top w:w="85" w:type="dxa"/>
            </w:tcMar>
            <w:vAlign w:val="center"/>
          </w:tcPr>
          <w:p w14:paraId="5B21096E" w14:textId="55A98F26" w:rsidR="0064158A" w:rsidRDefault="0064158A" w:rsidP="0064158A">
            <w:pPr>
              <w:contextualSpacing/>
              <w:rPr>
                <w:rFonts w:ascii="Arial" w:hAnsi="Arial" w:cs="Arial"/>
                <w:sz w:val="20"/>
                <w:szCs w:val="20"/>
              </w:rPr>
            </w:pPr>
            <w:r>
              <w:rPr>
                <w:rFonts w:ascii="Arial" w:hAnsi="Arial" w:cs="Arial"/>
                <w:sz w:val="20"/>
                <w:szCs w:val="20"/>
              </w:rPr>
              <w:t>lásd P_01.02. tábla 130 sor</w:t>
            </w:r>
          </w:p>
        </w:tc>
      </w:tr>
      <w:tr w:rsidR="0064158A" w:rsidRPr="00191B6F" w14:paraId="3CC922F7" w14:textId="77777777" w:rsidTr="00B771E2">
        <w:tc>
          <w:tcPr>
            <w:tcW w:w="905" w:type="dxa"/>
            <w:shd w:val="clear" w:color="auto" w:fill="auto"/>
            <w:tcMar>
              <w:top w:w="85" w:type="dxa"/>
            </w:tcMar>
            <w:vAlign w:val="center"/>
          </w:tcPr>
          <w:p w14:paraId="78E9666A" w14:textId="5AB5FE6D" w:rsidR="0064158A" w:rsidRDefault="0064158A" w:rsidP="0064158A">
            <w:pPr>
              <w:contextualSpacing/>
              <w:rPr>
                <w:rFonts w:ascii="Arial" w:hAnsi="Arial" w:cs="Arial"/>
                <w:sz w:val="20"/>
                <w:szCs w:val="20"/>
              </w:rPr>
            </w:pPr>
            <w:r>
              <w:rPr>
                <w:rFonts w:ascii="Arial" w:hAnsi="Arial" w:cs="Arial"/>
                <w:sz w:val="20"/>
                <w:szCs w:val="20"/>
              </w:rPr>
              <w:t>065</w:t>
            </w:r>
          </w:p>
        </w:tc>
        <w:tc>
          <w:tcPr>
            <w:tcW w:w="1217" w:type="dxa"/>
            <w:vAlign w:val="center"/>
          </w:tcPr>
          <w:p w14:paraId="2D0AEE77" w14:textId="55E2533B" w:rsidR="0064158A" w:rsidRDefault="0064158A" w:rsidP="0064158A">
            <w:pPr>
              <w:contextualSpacing/>
              <w:rPr>
                <w:rFonts w:ascii="Arial" w:hAnsi="Arial" w:cs="Arial"/>
                <w:sz w:val="20"/>
                <w:szCs w:val="20"/>
              </w:rPr>
            </w:pPr>
            <w:r>
              <w:rPr>
                <w:rFonts w:ascii="Arial" w:hAnsi="Arial" w:cs="Arial"/>
                <w:sz w:val="20"/>
                <w:szCs w:val="20"/>
              </w:rPr>
              <w:t>2.3.</w:t>
            </w:r>
          </w:p>
        </w:tc>
        <w:tc>
          <w:tcPr>
            <w:tcW w:w="3385" w:type="dxa"/>
            <w:shd w:val="clear" w:color="auto" w:fill="auto"/>
            <w:tcMar>
              <w:top w:w="85" w:type="dxa"/>
            </w:tcMar>
            <w:vAlign w:val="center"/>
          </w:tcPr>
          <w:p w14:paraId="176B0BBF" w14:textId="6D7426FB" w:rsidR="0064158A" w:rsidRDefault="0064158A" w:rsidP="0064158A">
            <w:pPr>
              <w:contextualSpacing/>
              <w:jc w:val="both"/>
              <w:rPr>
                <w:rFonts w:ascii="Arial" w:hAnsi="Arial" w:cs="Arial"/>
                <w:sz w:val="20"/>
                <w:szCs w:val="20"/>
              </w:rPr>
            </w:pPr>
            <w:r w:rsidRPr="008D0BFA">
              <w:rPr>
                <w:rFonts w:ascii="Arial" w:hAnsi="Arial" w:cs="Arial"/>
                <w:sz w:val="20"/>
                <w:szCs w:val="20"/>
              </w:rPr>
              <w:t>Egyéb pénzügyi vállalatoktól</w:t>
            </w:r>
            <w:r>
              <w:rPr>
                <w:rFonts w:ascii="Arial" w:hAnsi="Arial" w:cs="Arial"/>
                <w:sz w:val="20"/>
                <w:szCs w:val="20"/>
              </w:rPr>
              <w:t xml:space="preserve"> </w:t>
            </w:r>
            <w:r w:rsidRPr="008D0BFA">
              <w:rPr>
                <w:rFonts w:ascii="Arial" w:hAnsi="Arial" w:cs="Arial"/>
                <w:sz w:val="20"/>
                <w:szCs w:val="20"/>
              </w:rPr>
              <w:t>kapott betétek (visszavásárlási megállapodások kivételével)</w:t>
            </w:r>
          </w:p>
        </w:tc>
        <w:tc>
          <w:tcPr>
            <w:tcW w:w="3957" w:type="dxa"/>
            <w:shd w:val="clear" w:color="auto" w:fill="auto"/>
            <w:tcMar>
              <w:top w:w="85" w:type="dxa"/>
            </w:tcMar>
            <w:vAlign w:val="center"/>
          </w:tcPr>
          <w:p w14:paraId="00AE60ED" w14:textId="377E4B7F" w:rsidR="0064158A" w:rsidRDefault="0064158A" w:rsidP="0064158A">
            <w:pPr>
              <w:contextualSpacing/>
              <w:rPr>
                <w:rFonts w:ascii="Arial" w:hAnsi="Arial" w:cs="Arial"/>
                <w:sz w:val="20"/>
                <w:szCs w:val="20"/>
              </w:rPr>
            </w:pPr>
            <w:r>
              <w:rPr>
                <w:rFonts w:ascii="Arial" w:hAnsi="Arial" w:cs="Arial"/>
                <w:sz w:val="20"/>
                <w:szCs w:val="20"/>
              </w:rPr>
              <w:t>lásd P_01.02. tábla 140 sor</w:t>
            </w:r>
          </w:p>
        </w:tc>
      </w:tr>
      <w:tr w:rsidR="0064158A" w:rsidRPr="00191B6F" w14:paraId="409E2124" w14:textId="77777777" w:rsidTr="00B771E2">
        <w:tc>
          <w:tcPr>
            <w:tcW w:w="905" w:type="dxa"/>
            <w:shd w:val="clear" w:color="auto" w:fill="auto"/>
            <w:tcMar>
              <w:top w:w="85" w:type="dxa"/>
            </w:tcMar>
            <w:vAlign w:val="center"/>
          </w:tcPr>
          <w:p w14:paraId="543CAE7C" w14:textId="77777777" w:rsidR="0064158A" w:rsidRPr="00191B6F" w:rsidRDefault="0064158A" w:rsidP="0064158A">
            <w:pPr>
              <w:contextualSpacing/>
              <w:rPr>
                <w:rFonts w:ascii="Arial" w:hAnsi="Arial" w:cs="Arial"/>
                <w:sz w:val="20"/>
                <w:szCs w:val="20"/>
              </w:rPr>
            </w:pPr>
            <w:r>
              <w:rPr>
                <w:rFonts w:ascii="Arial" w:hAnsi="Arial" w:cs="Arial"/>
                <w:sz w:val="20"/>
                <w:szCs w:val="20"/>
              </w:rPr>
              <w:t>070</w:t>
            </w:r>
          </w:p>
        </w:tc>
        <w:tc>
          <w:tcPr>
            <w:tcW w:w="1217" w:type="dxa"/>
            <w:vAlign w:val="center"/>
          </w:tcPr>
          <w:p w14:paraId="36FEB299" w14:textId="77777777" w:rsidR="0064158A" w:rsidRDefault="0064158A" w:rsidP="0064158A">
            <w:pPr>
              <w:contextualSpacing/>
              <w:rPr>
                <w:rFonts w:ascii="Arial" w:hAnsi="Arial" w:cs="Arial"/>
                <w:sz w:val="20"/>
                <w:szCs w:val="20"/>
              </w:rPr>
            </w:pPr>
            <w:r>
              <w:rPr>
                <w:rFonts w:ascii="Arial" w:hAnsi="Arial" w:cs="Arial"/>
                <w:sz w:val="20"/>
                <w:szCs w:val="20"/>
              </w:rPr>
              <w:t>2.4.</w:t>
            </w:r>
          </w:p>
        </w:tc>
        <w:tc>
          <w:tcPr>
            <w:tcW w:w="3385" w:type="dxa"/>
            <w:shd w:val="clear" w:color="auto" w:fill="auto"/>
            <w:tcMar>
              <w:top w:w="85" w:type="dxa"/>
            </w:tcMar>
            <w:vAlign w:val="center"/>
          </w:tcPr>
          <w:p w14:paraId="64167278" w14:textId="0CBE46CD" w:rsidR="0064158A" w:rsidRDefault="0064158A" w:rsidP="0064158A">
            <w:pPr>
              <w:contextualSpacing/>
              <w:jc w:val="both"/>
              <w:rPr>
                <w:rFonts w:ascii="Arial" w:hAnsi="Arial" w:cs="Arial"/>
                <w:sz w:val="20"/>
                <w:szCs w:val="20"/>
              </w:rPr>
            </w:pPr>
            <w:r w:rsidRPr="0064158A">
              <w:rPr>
                <w:rFonts w:ascii="Arial" w:hAnsi="Arial" w:cs="Arial"/>
                <w:sz w:val="20"/>
                <w:szCs w:val="20"/>
              </w:rPr>
              <w:t>Kibocsátott</w:t>
            </w:r>
            <w:r>
              <w:rPr>
                <w:rFonts w:ascii="Arial" w:hAnsi="Arial" w:cs="Arial"/>
                <w:sz w:val="20"/>
                <w:szCs w:val="20"/>
              </w:rPr>
              <w:t xml:space="preserve"> rövid lejáratú hitelviszonyt megtestesítő értékpapírok </w:t>
            </w:r>
            <w:r w:rsidRPr="0064158A">
              <w:rPr>
                <w:rFonts w:ascii="Arial" w:hAnsi="Arial" w:cs="Arial"/>
                <w:sz w:val="20"/>
                <w:szCs w:val="20"/>
              </w:rPr>
              <w:t>(&lt;1 év)</w:t>
            </w:r>
          </w:p>
        </w:tc>
        <w:tc>
          <w:tcPr>
            <w:tcW w:w="3957" w:type="dxa"/>
            <w:shd w:val="clear" w:color="auto" w:fill="auto"/>
            <w:tcMar>
              <w:top w:w="85" w:type="dxa"/>
            </w:tcMar>
            <w:vAlign w:val="center"/>
          </w:tcPr>
          <w:p w14:paraId="4C324C18" w14:textId="77777777" w:rsidR="0064158A" w:rsidRPr="00191B6F" w:rsidRDefault="0064158A" w:rsidP="0064158A">
            <w:pPr>
              <w:contextualSpacing/>
              <w:rPr>
                <w:rFonts w:ascii="Arial" w:hAnsi="Arial" w:cs="Arial"/>
                <w:sz w:val="20"/>
                <w:szCs w:val="20"/>
              </w:rPr>
            </w:pPr>
            <w:r>
              <w:rPr>
                <w:rFonts w:ascii="Arial" w:hAnsi="Arial" w:cs="Arial"/>
                <w:sz w:val="20"/>
                <w:szCs w:val="20"/>
              </w:rPr>
              <w:t>lásd P_01.02. tábla 150. sor</w:t>
            </w:r>
          </w:p>
        </w:tc>
      </w:tr>
      <w:tr w:rsidR="0064158A" w:rsidRPr="00191B6F" w14:paraId="19A34444" w14:textId="77777777" w:rsidTr="00B771E2">
        <w:tc>
          <w:tcPr>
            <w:tcW w:w="905" w:type="dxa"/>
            <w:shd w:val="clear" w:color="auto" w:fill="auto"/>
            <w:tcMar>
              <w:top w:w="85" w:type="dxa"/>
            </w:tcMar>
            <w:vAlign w:val="center"/>
          </w:tcPr>
          <w:p w14:paraId="0D6A358D" w14:textId="77777777" w:rsidR="0064158A" w:rsidRDefault="0064158A" w:rsidP="0064158A">
            <w:pPr>
              <w:contextualSpacing/>
              <w:rPr>
                <w:rFonts w:ascii="Arial" w:hAnsi="Arial" w:cs="Arial"/>
                <w:sz w:val="20"/>
                <w:szCs w:val="20"/>
              </w:rPr>
            </w:pPr>
            <w:r>
              <w:rPr>
                <w:rFonts w:ascii="Arial" w:hAnsi="Arial" w:cs="Arial"/>
                <w:sz w:val="20"/>
                <w:szCs w:val="20"/>
              </w:rPr>
              <w:t>080</w:t>
            </w:r>
          </w:p>
        </w:tc>
        <w:tc>
          <w:tcPr>
            <w:tcW w:w="1217" w:type="dxa"/>
            <w:vAlign w:val="center"/>
          </w:tcPr>
          <w:p w14:paraId="3E952309" w14:textId="77777777" w:rsidR="0064158A" w:rsidRDefault="0064158A" w:rsidP="0064158A">
            <w:pPr>
              <w:contextualSpacing/>
              <w:rPr>
                <w:rFonts w:ascii="Arial" w:hAnsi="Arial" w:cs="Arial"/>
                <w:sz w:val="20"/>
                <w:szCs w:val="20"/>
              </w:rPr>
            </w:pPr>
            <w:r>
              <w:rPr>
                <w:rFonts w:ascii="Arial" w:hAnsi="Arial" w:cs="Arial"/>
                <w:sz w:val="20"/>
                <w:szCs w:val="20"/>
              </w:rPr>
              <w:t>2.5.</w:t>
            </w:r>
          </w:p>
        </w:tc>
        <w:tc>
          <w:tcPr>
            <w:tcW w:w="3385" w:type="dxa"/>
            <w:shd w:val="clear" w:color="auto" w:fill="auto"/>
            <w:tcMar>
              <w:top w:w="85" w:type="dxa"/>
            </w:tcMar>
            <w:vAlign w:val="center"/>
          </w:tcPr>
          <w:p w14:paraId="7A6DEEAD" w14:textId="1B138A31" w:rsidR="0064158A" w:rsidRDefault="0064158A" w:rsidP="006A358C">
            <w:pPr>
              <w:contextualSpacing/>
              <w:jc w:val="both"/>
              <w:rPr>
                <w:rFonts w:ascii="Arial" w:hAnsi="Arial" w:cs="Arial"/>
                <w:sz w:val="20"/>
                <w:szCs w:val="20"/>
              </w:rPr>
            </w:pPr>
            <w:r w:rsidRPr="0064158A">
              <w:rPr>
                <w:rFonts w:ascii="Arial" w:hAnsi="Arial" w:cs="Arial"/>
                <w:sz w:val="20"/>
                <w:szCs w:val="20"/>
              </w:rPr>
              <w:t>Kibocsátott</w:t>
            </w:r>
            <w:r>
              <w:rPr>
                <w:rFonts w:ascii="Arial" w:hAnsi="Arial" w:cs="Arial"/>
                <w:sz w:val="20"/>
                <w:szCs w:val="20"/>
              </w:rPr>
              <w:t xml:space="preserve"> hosszú</w:t>
            </w:r>
            <w:r w:rsidR="00664D31">
              <w:rPr>
                <w:rFonts w:ascii="Arial" w:hAnsi="Arial" w:cs="Arial"/>
                <w:sz w:val="20"/>
                <w:szCs w:val="20"/>
              </w:rPr>
              <w:t xml:space="preserve"> </w:t>
            </w:r>
            <w:r>
              <w:rPr>
                <w:rFonts w:ascii="Arial" w:hAnsi="Arial" w:cs="Arial"/>
                <w:sz w:val="20"/>
                <w:szCs w:val="20"/>
              </w:rPr>
              <w:t>lejáratú hitelviszonyt</w:t>
            </w:r>
            <w:r w:rsidR="00664D31">
              <w:rPr>
                <w:rFonts w:ascii="Arial" w:hAnsi="Arial" w:cs="Arial"/>
                <w:sz w:val="20"/>
                <w:szCs w:val="20"/>
              </w:rPr>
              <w:t xml:space="preserve"> </w:t>
            </w:r>
            <w:r>
              <w:rPr>
                <w:rFonts w:ascii="Arial" w:hAnsi="Arial" w:cs="Arial"/>
                <w:sz w:val="20"/>
                <w:szCs w:val="20"/>
              </w:rPr>
              <w:t xml:space="preserve">megtestesítő értékpapírok </w:t>
            </w:r>
            <w:r w:rsidRPr="0064158A">
              <w:rPr>
                <w:rFonts w:ascii="Arial" w:hAnsi="Arial" w:cs="Arial"/>
                <w:sz w:val="20"/>
                <w:szCs w:val="20"/>
              </w:rPr>
              <w:t>(</w:t>
            </w:r>
            <w:r w:rsidR="00FF1640">
              <w:rPr>
                <w:rFonts w:ascii="Arial" w:hAnsi="Arial" w:cs="Arial"/>
                <w:sz w:val="20"/>
                <w:szCs w:val="20"/>
              </w:rPr>
              <w:t>≥</w:t>
            </w:r>
            <w:r w:rsidRPr="0064158A">
              <w:rPr>
                <w:rFonts w:ascii="Arial" w:hAnsi="Arial" w:cs="Arial"/>
                <w:sz w:val="20"/>
                <w:szCs w:val="20"/>
              </w:rPr>
              <w:t>1 év)</w:t>
            </w:r>
          </w:p>
        </w:tc>
        <w:tc>
          <w:tcPr>
            <w:tcW w:w="3957" w:type="dxa"/>
            <w:shd w:val="clear" w:color="auto" w:fill="auto"/>
            <w:tcMar>
              <w:top w:w="85" w:type="dxa"/>
            </w:tcMar>
            <w:vAlign w:val="center"/>
          </w:tcPr>
          <w:p w14:paraId="666A5DF4" w14:textId="77777777" w:rsidR="0064158A" w:rsidRPr="00191B6F" w:rsidRDefault="0064158A" w:rsidP="0064158A">
            <w:pPr>
              <w:contextualSpacing/>
              <w:rPr>
                <w:rFonts w:ascii="Arial" w:hAnsi="Arial" w:cs="Arial"/>
                <w:sz w:val="20"/>
                <w:szCs w:val="20"/>
              </w:rPr>
            </w:pPr>
            <w:r>
              <w:rPr>
                <w:rFonts w:ascii="Arial" w:hAnsi="Arial" w:cs="Arial"/>
                <w:sz w:val="20"/>
                <w:szCs w:val="20"/>
              </w:rPr>
              <w:t>lásd P_01.02. tábla 180. sor</w:t>
            </w:r>
          </w:p>
        </w:tc>
      </w:tr>
      <w:tr w:rsidR="0064158A" w:rsidRPr="00191B6F" w14:paraId="32DAECF3" w14:textId="77777777" w:rsidTr="00B771E2">
        <w:tc>
          <w:tcPr>
            <w:tcW w:w="905" w:type="dxa"/>
            <w:shd w:val="clear" w:color="auto" w:fill="auto"/>
            <w:tcMar>
              <w:top w:w="85" w:type="dxa"/>
            </w:tcMar>
            <w:vAlign w:val="center"/>
          </w:tcPr>
          <w:p w14:paraId="5DF75CB2" w14:textId="78151BE4" w:rsidR="0064158A" w:rsidRDefault="0064158A" w:rsidP="0064158A">
            <w:pPr>
              <w:contextualSpacing/>
              <w:rPr>
                <w:rFonts w:ascii="Arial" w:hAnsi="Arial" w:cs="Arial"/>
                <w:sz w:val="20"/>
                <w:szCs w:val="20"/>
              </w:rPr>
            </w:pPr>
            <w:r>
              <w:rPr>
                <w:rFonts w:ascii="Arial" w:hAnsi="Arial" w:cs="Arial"/>
                <w:sz w:val="20"/>
                <w:szCs w:val="20"/>
              </w:rPr>
              <w:t>090</w:t>
            </w:r>
          </w:p>
        </w:tc>
        <w:tc>
          <w:tcPr>
            <w:tcW w:w="1217" w:type="dxa"/>
            <w:vAlign w:val="center"/>
          </w:tcPr>
          <w:p w14:paraId="75ABF160" w14:textId="3EBE4F67" w:rsidR="0064158A" w:rsidRDefault="0064158A" w:rsidP="0064158A">
            <w:pPr>
              <w:contextualSpacing/>
              <w:rPr>
                <w:rFonts w:ascii="Arial" w:hAnsi="Arial" w:cs="Arial"/>
                <w:sz w:val="20"/>
                <w:szCs w:val="20"/>
              </w:rPr>
            </w:pPr>
            <w:r>
              <w:rPr>
                <w:rFonts w:ascii="Arial" w:hAnsi="Arial" w:cs="Arial"/>
                <w:sz w:val="20"/>
                <w:szCs w:val="20"/>
              </w:rPr>
              <w:t>2.6</w:t>
            </w:r>
            <w:r w:rsidR="00521A47">
              <w:rPr>
                <w:rFonts w:ascii="Arial" w:hAnsi="Arial" w:cs="Arial"/>
                <w:sz w:val="20"/>
                <w:szCs w:val="20"/>
              </w:rPr>
              <w:t>.</w:t>
            </w:r>
          </w:p>
        </w:tc>
        <w:tc>
          <w:tcPr>
            <w:tcW w:w="3385" w:type="dxa"/>
            <w:shd w:val="clear" w:color="auto" w:fill="auto"/>
            <w:tcMar>
              <w:top w:w="85" w:type="dxa"/>
            </w:tcMar>
            <w:vAlign w:val="center"/>
          </w:tcPr>
          <w:p w14:paraId="6057F279" w14:textId="18330E15" w:rsidR="0064158A" w:rsidRDefault="0064158A" w:rsidP="0064158A">
            <w:pPr>
              <w:contextualSpacing/>
              <w:jc w:val="both"/>
              <w:rPr>
                <w:rFonts w:ascii="Arial" w:hAnsi="Arial" w:cs="Arial"/>
                <w:sz w:val="20"/>
                <w:szCs w:val="20"/>
              </w:rPr>
            </w:pPr>
            <w:r w:rsidRPr="0064158A">
              <w:rPr>
                <w:rFonts w:ascii="Arial" w:hAnsi="Arial" w:cs="Arial"/>
                <w:sz w:val="20"/>
                <w:szCs w:val="20"/>
              </w:rPr>
              <w:t>Egyéb pénzügyi kötelezettségek</w:t>
            </w:r>
          </w:p>
        </w:tc>
        <w:tc>
          <w:tcPr>
            <w:tcW w:w="3957" w:type="dxa"/>
            <w:shd w:val="clear" w:color="auto" w:fill="auto"/>
            <w:tcMar>
              <w:top w:w="85" w:type="dxa"/>
            </w:tcMar>
            <w:vAlign w:val="center"/>
          </w:tcPr>
          <w:p w14:paraId="28FDFCE0" w14:textId="47E74EF6" w:rsidR="0064158A" w:rsidRDefault="004257AC" w:rsidP="00883E29">
            <w:pPr>
              <w:contextualSpacing/>
              <w:jc w:val="both"/>
              <w:rPr>
                <w:rFonts w:ascii="Arial" w:hAnsi="Arial" w:cs="Arial"/>
                <w:sz w:val="20"/>
                <w:szCs w:val="20"/>
              </w:rPr>
            </w:pPr>
            <w:r>
              <w:rPr>
                <w:rFonts w:ascii="Arial" w:hAnsi="Arial" w:cs="Arial"/>
                <w:color w:val="000000"/>
                <w:sz w:val="20"/>
                <w:szCs w:val="20"/>
              </w:rPr>
              <w:t>A</w:t>
            </w:r>
            <w:r w:rsidRPr="003E72BE">
              <w:rPr>
                <w:rFonts w:ascii="Arial" w:hAnsi="Arial" w:cs="Arial"/>
                <w:color w:val="000000"/>
                <w:sz w:val="20"/>
                <w:szCs w:val="20"/>
              </w:rPr>
              <w:t>zokat a pénzügyi kötelezettségeket tartalmazza, amelyek nem szerepelnek a 045–080 sorban, és amelyek szintén a megfelelő jelentős vagy jelentéstételi pénznemben vannak denominálva.</w:t>
            </w:r>
          </w:p>
        </w:tc>
      </w:tr>
    </w:tbl>
    <w:p w14:paraId="277EAA63" w14:textId="77777777" w:rsidR="00FE6B4B" w:rsidRPr="001B098C" w:rsidRDefault="00FE6B4B" w:rsidP="00FE6B4B">
      <w:pPr>
        <w:jc w:val="both"/>
        <w:rPr>
          <w:rFonts w:ascii="Arial" w:hAnsi="Arial" w:cs="Arial"/>
          <w:sz w:val="20"/>
          <w:szCs w:val="20"/>
        </w:rPr>
      </w:pPr>
    </w:p>
    <w:p w14:paraId="415B6EF5" w14:textId="77777777" w:rsidR="00FE6B4B" w:rsidRDefault="00FE6B4B" w:rsidP="00FE6B4B">
      <w:pPr>
        <w:rPr>
          <w:rFonts w:ascii="Arial" w:hAnsi="Arial" w:cs="Arial"/>
          <w:b/>
          <w:sz w:val="20"/>
          <w:szCs w:val="20"/>
        </w:rPr>
      </w:pPr>
      <w:r w:rsidRPr="00352BD3">
        <w:rPr>
          <w:rFonts w:ascii="Arial" w:hAnsi="Arial" w:cs="Arial"/>
          <w:b/>
          <w:sz w:val="20"/>
          <w:szCs w:val="20"/>
        </w:rPr>
        <w:t>A tábla oszlopai</w:t>
      </w:r>
    </w:p>
    <w:p w14:paraId="6BBC826B" w14:textId="77777777" w:rsidR="00FE6B4B" w:rsidRPr="00352BD3" w:rsidRDefault="00FE6B4B" w:rsidP="00FE6B4B">
      <w:pPr>
        <w:rPr>
          <w:rFonts w:ascii="Arial" w:hAnsi="Arial" w:cs="Arial"/>
          <w:b/>
          <w:sz w:val="20"/>
          <w:szCs w:val="20"/>
        </w:rPr>
      </w:pPr>
    </w:p>
    <w:tbl>
      <w:tblPr>
        <w:tblW w:w="9464" w:type="dxa"/>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Look w:val="04A0" w:firstRow="1" w:lastRow="0" w:firstColumn="1" w:lastColumn="0" w:noHBand="0" w:noVBand="1"/>
      </w:tblPr>
      <w:tblGrid>
        <w:gridCol w:w="905"/>
        <w:gridCol w:w="3456"/>
        <w:gridCol w:w="5103"/>
      </w:tblGrid>
      <w:tr w:rsidR="00FE6B4B" w:rsidRPr="00191B6F" w14:paraId="5DB41429" w14:textId="77777777" w:rsidTr="00960BA9">
        <w:tc>
          <w:tcPr>
            <w:tcW w:w="905" w:type="dxa"/>
            <w:shd w:val="clear" w:color="auto" w:fill="auto"/>
            <w:tcMar>
              <w:top w:w="85" w:type="dxa"/>
            </w:tcMar>
            <w:vAlign w:val="center"/>
          </w:tcPr>
          <w:p w14:paraId="39E445C6" w14:textId="77777777" w:rsidR="00FE6B4B" w:rsidRPr="0091468E" w:rsidRDefault="00FE6B4B" w:rsidP="00D16669">
            <w:pPr>
              <w:contextualSpacing/>
              <w:rPr>
                <w:rFonts w:ascii="Arial" w:hAnsi="Arial" w:cs="Arial"/>
                <w:b/>
                <w:sz w:val="20"/>
                <w:szCs w:val="20"/>
              </w:rPr>
            </w:pPr>
            <w:r w:rsidRPr="0091468E">
              <w:rPr>
                <w:rFonts w:ascii="Arial" w:hAnsi="Arial" w:cs="Arial"/>
                <w:b/>
                <w:sz w:val="20"/>
                <w:szCs w:val="20"/>
              </w:rPr>
              <w:t>Oszlop</w:t>
            </w:r>
          </w:p>
        </w:tc>
        <w:tc>
          <w:tcPr>
            <w:tcW w:w="3456" w:type="dxa"/>
            <w:shd w:val="clear" w:color="auto" w:fill="auto"/>
            <w:tcMar>
              <w:top w:w="85" w:type="dxa"/>
            </w:tcMar>
            <w:vAlign w:val="center"/>
          </w:tcPr>
          <w:p w14:paraId="05557CFF" w14:textId="77777777" w:rsidR="00FE6B4B" w:rsidRPr="0091468E" w:rsidRDefault="00FE6B4B" w:rsidP="00D16669">
            <w:pPr>
              <w:contextualSpacing/>
              <w:rPr>
                <w:rFonts w:ascii="Arial" w:hAnsi="Arial" w:cs="Arial"/>
                <w:b/>
                <w:sz w:val="20"/>
                <w:szCs w:val="20"/>
              </w:rPr>
            </w:pPr>
            <w:r w:rsidRPr="0091468E">
              <w:rPr>
                <w:rFonts w:ascii="Arial" w:hAnsi="Arial" w:cs="Arial"/>
                <w:b/>
                <w:sz w:val="20"/>
                <w:szCs w:val="20"/>
              </w:rPr>
              <w:t>Megnevezés</w:t>
            </w:r>
          </w:p>
        </w:tc>
        <w:tc>
          <w:tcPr>
            <w:tcW w:w="5103" w:type="dxa"/>
            <w:shd w:val="clear" w:color="auto" w:fill="auto"/>
            <w:tcMar>
              <w:top w:w="85" w:type="dxa"/>
            </w:tcMar>
            <w:vAlign w:val="center"/>
          </w:tcPr>
          <w:p w14:paraId="3BA901BA" w14:textId="77777777" w:rsidR="00FE6B4B" w:rsidRPr="00191B6F" w:rsidRDefault="00FE6B4B" w:rsidP="00D16669">
            <w:pPr>
              <w:contextualSpacing/>
              <w:rPr>
                <w:rFonts w:ascii="Arial" w:hAnsi="Arial" w:cs="Arial"/>
                <w:sz w:val="20"/>
                <w:szCs w:val="20"/>
              </w:rPr>
            </w:pPr>
            <w:r w:rsidRPr="00191B6F">
              <w:rPr>
                <w:rFonts w:ascii="Arial" w:hAnsi="Arial" w:cs="Arial"/>
                <w:b/>
                <w:sz w:val="20"/>
                <w:szCs w:val="20"/>
              </w:rPr>
              <w:t>Hivatkozások jogszabályokra és megjegyzések</w:t>
            </w:r>
          </w:p>
        </w:tc>
      </w:tr>
      <w:tr w:rsidR="00FE6B4B" w:rsidRPr="00191B6F" w14:paraId="28259C5A" w14:textId="77777777" w:rsidTr="00960BA9">
        <w:tc>
          <w:tcPr>
            <w:tcW w:w="905" w:type="dxa"/>
            <w:shd w:val="clear" w:color="auto" w:fill="auto"/>
            <w:tcMar>
              <w:top w:w="85" w:type="dxa"/>
            </w:tcMar>
            <w:vAlign w:val="center"/>
          </w:tcPr>
          <w:p w14:paraId="60764FB2"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010</w:t>
            </w:r>
          </w:p>
        </w:tc>
        <w:tc>
          <w:tcPr>
            <w:tcW w:w="3456" w:type="dxa"/>
            <w:shd w:val="clear" w:color="auto" w:fill="auto"/>
            <w:tcMar>
              <w:top w:w="85" w:type="dxa"/>
            </w:tcMar>
            <w:vAlign w:val="center"/>
          </w:tcPr>
          <w:p w14:paraId="35DC4199" w14:textId="77777777" w:rsidR="00FE6B4B" w:rsidRPr="00191B6F" w:rsidRDefault="00FE6B4B" w:rsidP="00D16669">
            <w:pPr>
              <w:contextualSpacing/>
              <w:rPr>
                <w:rFonts w:ascii="Arial" w:hAnsi="Arial" w:cs="Arial"/>
                <w:sz w:val="20"/>
                <w:szCs w:val="20"/>
              </w:rPr>
            </w:pPr>
            <w:r>
              <w:rPr>
                <w:rFonts w:ascii="Arial" w:hAnsi="Arial" w:cs="Arial"/>
                <w:sz w:val="20"/>
                <w:szCs w:val="20"/>
              </w:rPr>
              <w:t>Aktuális – tény</w:t>
            </w:r>
          </w:p>
        </w:tc>
        <w:tc>
          <w:tcPr>
            <w:tcW w:w="5103" w:type="dxa"/>
            <w:shd w:val="clear" w:color="auto" w:fill="auto"/>
            <w:tcMar>
              <w:top w:w="85" w:type="dxa"/>
            </w:tcMar>
            <w:vAlign w:val="center"/>
          </w:tcPr>
          <w:p w14:paraId="5DCD4D91" w14:textId="77777777" w:rsidR="00FE6B4B" w:rsidRPr="00191B6F" w:rsidRDefault="00FE6B4B" w:rsidP="00D16669">
            <w:pPr>
              <w:contextualSpacing/>
              <w:jc w:val="both"/>
              <w:rPr>
                <w:rFonts w:ascii="Arial" w:hAnsi="Arial" w:cs="Arial"/>
                <w:sz w:val="20"/>
                <w:szCs w:val="20"/>
              </w:rPr>
            </w:pPr>
            <w:r w:rsidRPr="00191B6F">
              <w:rPr>
                <w:rFonts w:ascii="Arial" w:hAnsi="Arial" w:cs="Arial"/>
                <w:sz w:val="20"/>
                <w:szCs w:val="20"/>
              </w:rPr>
              <w:t xml:space="preserve">Ebben az oszlopban </w:t>
            </w:r>
            <w:r>
              <w:rPr>
                <w:rFonts w:ascii="Arial" w:hAnsi="Arial" w:cs="Arial"/>
                <w:sz w:val="20"/>
                <w:szCs w:val="20"/>
              </w:rPr>
              <w:t xml:space="preserve">az előző év végi tényadatot </w:t>
            </w:r>
            <w:r w:rsidRPr="00191B6F">
              <w:rPr>
                <w:rFonts w:ascii="Arial" w:hAnsi="Arial" w:cs="Arial"/>
                <w:sz w:val="20"/>
                <w:szCs w:val="20"/>
              </w:rPr>
              <w:t xml:space="preserve">kell </w:t>
            </w:r>
            <w:r>
              <w:rPr>
                <w:rFonts w:ascii="Arial" w:hAnsi="Arial" w:cs="Arial"/>
                <w:sz w:val="20"/>
                <w:szCs w:val="20"/>
              </w:rPr>
              <w:t>jelenteni</w:t>
            </w:r>
            <w:r w:rsidRPr="00191B6F">
              <w:rPr>
                <w:rFonts w:ascii="Arial" w:hAnsi="Arial" w:cs="Arial"/>
                <w:sz w:val="20"/>
                <w:szCs w:val="20"/>
              </w:rPr>
              <w:t>.</w:t>
            </w:r>
          </w:p>
        </w:tc>
      </w:tr>
      <w:tr w:rsidR="00FE6B4B" w:rsidRPr="00191B6F" w14:paraId="4EDCA7AF" w14:textId="77777777" w:rsidTr="00960BA9">
        <w:tc>
          <w:tcPr>
            <w:tcW w:w="905" w:type="dxa"/>
            <w:shd w:val="clear" w:color="auto" w:fill="auto"/>
            <w:tcMar>
              <w:top w:w="85" w:type="dxa"/>
            </w:tcMar>
            <w:vAlign w:val="center"/>
          </w:tcPr>
          <w:p w14:paraId="45EBF905"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020 -050</w:t>
            </w:r>
          </w:p>
        </w:tc>
        <w:tc>
          <w:tcPr>
            <w:tcW w:w="3456" w:type="dxa"/>
            <w:shd w:val="clear" w:color="auto" w:fill="auto"/>
            <w:tcMar>
              <w:top w:w="85" w:type="dxa"/>
            </w:tcMar>
            <w:vAlign w:val="center"/>
          </w:tcPr>
          <w:p w14:paraId="08BD03DF" w14:textId="4B7D1539" w:rsidR="00FE6B4B" w:rsidRPr="00191B6F" w:rsidRDefault="00FE6B4B" w:rsidP="00D16669">
            <w:pPr>
              <w:contextualSpacing/>
              <w:rPr>
                <w:rFonts w:ascii="Arial" w:hAnsi="Arial" w:cs="Arial"/>
                <w:sz w:val="20"/>
                <w:szCs w:val="20"/>
              </w:rPr>
            </w:pPr>
            <w:r w:rsidRPr="00191B6F">
              <w:rPr>
                <w:rFonts w:ascii="Arial" w:hAnsi="Arial" w:cs="Arial"/>
                <w:sz w:val="20"/>
                <w:szCs w:val="20"/>
              </w:rPr>
              <w:t xml:space="preserve">1 év – terv, 2 év – terv, 3 év </w:t>
            </w:r>
            <w:r w:rsidR="007C0883" w:rsidRPr="00191B6F">
              <w:rPr>
                <w:rFonts w:ascii="Arial" w:hAnsi="Arial" w:cs="Arial"/>
                <w:sz w:val="20"/>
                <w:szCs w:val="20"/>
              </w:rPr>
              <w:t>–</w:t>
            </w:r>
            <w:r w:rsidRPr="00191B6F">
              <w:rPr>
                <w:rFonts w:ascii="Arial" w:hAnsi="Arial" w:cs="Arial"/>
                <w:sz w:val="20"/>
                <w:szCs w:val="20"/>
              </w:rPr>
              <w:t xml:space="preserve"> terv</w:t>
            </w:r>
          </w:p>
        </w:tc>
        <w:tc>
          <w:tcPr>
            <w:tcW w:w="5103" w:type="dxa"/>
            <w:shd w:val="clear" w:color="auto" w:fill="auto"/>
            <w:tcMar>
              <w:top w:w="85" w:type="dxa"/>
            </w:tcMar>
            <w:vAlign w:val="center"/>
          </w:tcPr>
          <w:p w14:paraId="564A2753" w14:textId="476C6513" w:rsidR="00FE6B4B" w:rsidRDefault="003C5714" w:rsidP="00D16669">
            <w:pPr>
              <w:contextualSpacing/>
              <w:jc w:val="both"/>
              <w:rPr>
                <w:rFonts w:ascii="Arial" w:hAnsi="Arial" w:cs="Arial"/>
                <w:sz w:val="20"/>
                <w:szCs w:val="20"/>
              </w:rPr>
            </w:pPr>
            <w:r>
              <w:rPr>
                <w:rFonts w:ascii="Arial" w:hAnsi="Arial" w:cs="Arial"/>
                <w:sz w:val="20"/>
                <w:szCs w:val="20"/>
              </w:rPr>
              <w:t>Ezekben az oszlopokban a tényadatot követő 1.</w:t>
            </w:r>
            <w:r w:rsidR="00E77C64">
              <w:rPr>
                <w:rFonts w:ascii="Arial" w:hAnsi="Arial" w:cs="Arial"/>
                <w:sz w:val="20"/>
                <w:szCs w:val="20"/>
              </w:rPr>
              <w:t>,</w:t>
            </w:r>
            <w:r>
              <w:rPr>
                <w:rFonts w:ascii="Arial" w:hAnsi="Arial" w:cs="Arial"/>
                <w:sz w:val="20"/>
                <w:szCs w:val="20"/>
              </w:rPr>
              <w:t xml:space="preserve"> 2. és 3. évre vonatkozó terv</w:t>
            </w:r>
            <w:r w:rsidR="00664D31">
              <w:rPr>
                <w:rFonts w:ascii="Arial" w:hAnsi="Arial" w:cs="Arial"/>
                <w:sz w:val="20"/>
                <w:szCs w:val="20"/>
              </w:rPr>
              <w:t xml:space="preserve"> </w:t>
            </w:r>
            <w:r>
              <w:rPr>
                <w:rFonts w:ascii="Arial" w:hAnsi="Arial" w:cs="Arial"/>
                <w:sz w:val="20"/>
                <w:szCs w:val="20"/>
              </w:rPr>
              <w:t xml:space="preserve">adatokat kell jelenteni. </w:t>
            </w:r>
          </w:p>
          <w:p w14:paraId="75D38686" w14:textId="77777777" w:rsidR="00FE6B4B" w:rsidRPr="00191B6F" w:rsidRDefault="00FE6B4B" w:rsidP="00D16669">
            <w:pPr>
              <w:contextualSpacing/>
              <w:jc w:val="both"/>
              <w:rPr>
                <w:rFonts w:ascii="Arial" w:hAnsi="Arial" w:cs="Arial"/>
                <w:sz w:val="20"/>
                <w:szCs w:val="20"/>
              </w:rPr>
            </w:pPr>
            <w:r w:rsidRPr="00191B6F">
              <w:rPr>
                <w:rFonts w:ascii="Arial" w:hAnsi="Arial" w:cs="Arial"/>
                <w:sz w:val="20"/>
                <w:szCs w:val="20"/>
              </w:rPr>
              <w:t>Ezeket az oszlopokat a hitelintézeteknek a normál makrogazdasági helyzet és normál üzletmenet feltételezése mellett tett előrejelzések szerint kell kitölteniük. Az MNB nem ad meg makrogazdasági szcenáriót, a hitelintézetnek a saját becslései közül a legvalószínűbbet kell alkalmaznia.</w:t>
            </w:r>
          </w:p>
        </w:tc>
      </w:tr>
    </w:tbl>
    <w:p w14:paraId="0219B8B9" w14:textId="77777777" w:rsidR="00FE6B4B" w:rsidRDefault="00FE6B4B" w:rsidP="00FE6B4B">
      <w:pPr>
        <w:jc w:val="both"/>
        <w:rPr>
          <w:rFonts w:ascii="Arial" w:hAnsi="Arial" w:cs="Arial"/>
          <w:sz w:val="20"/>
          <w:szCs w:val="20"/>
        </w:rPr>
      </w:pPr>
    </w:p>
    <w:p w14:paraId="2FD04402" w14:textId="77777777" w:rsidR="00FE6B4B" w:rsidRPr="001B098C" w:rsidRDefault="00FE6B4B" w:rsidP="00FE6B4B">
      <w:pPr>
        <w:jc w:val="both"/>
        <w:rPr>
          <w:rFonts w:ascii="Arial" w:hAnsi="Arial" w:cs="Arial"/>
          <w:sz w:val="20"/>
          <w:szCs w:val="20"/>
        </w:rPr>
      </w:pPr>
    </w:p>
    <w:p w14:paraId="63CDE069" w14:textId="601DA602" w:rsidR="00FE6B4B" w:rsidRPr="003E72BE" w:rsidRDefault="0062780E" w:rsidP="002F2AD2">
      <w:pPr>
        <w:ind w:left="426" w:hanging="426"/>
        <w:rPr>
          <w:rFonts w:ascii="Arial" w:hAnsi="Arial" w:cs="Arial"/>
          <w:b/>
          <w:sz w:val="20"/>
          <w:szCs w:val="20"/>
        </w:rPr>
      </w:pPr>
      <w:r w:rsidRPr="00B771E2">
        <w:rPr>
          <w:rFonts w:ascii="Arial" w:hAnsi="Arial" w:cs="Arial"/>
          <w:b/>
          <w:sz w:val="20"/>
          <w:szCs w:val="20"/>
        </w:rPr>
        <w:t>10.</w:t>
      </w:r>
      <w:r w:rsidRPr="00B771E2">
        <w:rPr>
          <w:rFonts w:ascii="Arial" w:hAnsi="Arial" w:cs="Arial"/>
          <w:b/>
          <w:sz w:val="20"/>
          <w:szCs w:val="20"/>
        </w:rPr>
        <w:tab/>
      </w:r>
      <w:r w:rsidR="00FE6B4B" w:rsidRPr="00B771E2">
        <w:rPr>
          <w:rFonts w:ascii="Arial" w:hAnsi="Arial" w:cs="Arial"/>
          <w:b/>
          <w:sz w:val="20"/>
          <w:szCs w:val="20"/>
        </w:rPr>
        <w:t>P</w:t>
      </w:r>
      <w:r w:rsidR="00857983" w:rsidRPr="00B771E2">
        <w:rPr>
          <w:rFonts w:ascii="Arial" w:hAnsi="Arial" w:cs="Arial"/>
          <w:b/>
          <w:sz w:val="20"/>
          <w:szCs w:val="20"/>
        </w:rPr>
        <w:t>_</w:t>
      </w:r>
      <w:r w:rsidR="00FE6B4B" w:rsidRPr="00B771E2">
        <w:rPr>
          <w:rFonts w:ascii="Arial" w:hAnsi="Arial" w:cs="Arial"/>
          <w:b/>
          <w:sz w:val="20"/>
          <w:szCs w:val="20"/>
        </w:rPr>
        <w:t xml:space="preserve">02.07 Finanszírozási terv </w:t>
      </w:r>
      <w:r w:rsidR="008E3A5A" w:rsidRPr="00B771E2">
        <w:rPr>
          <w:rFonts w:ascii="Arial" w:hAnsi="Arial" w:cs="Arial"/>
          <w:b/>
          <w:caps/>
          <w:sz w:val="20"/>
          <w:szCs w:val="20"/>
          <w:lang w:val="en-US" w:eastAsia="en-GB"/>
        </w:rPr>
        <w:t>–</w:t>
      </w:r>
      <w:r w:rsidR="00FE6B4B" w:rsidRPr="00B771E2">
        <w:rPr>
          <w:rFonts w:ascii="Arial" w:hAnsi="Arial" w:cs="Arial"/>
          <w:b/>
          <w:sz w:val="20"/>
          <w:szCs w:val="20"/>
        </w:rPr>
        <w:t xml:space="preserve"> Hitel</w:t>
      </w:r>
      <w:r w:rsidR="004D04B5">
        <w:rPr>
          <w:rFonts w:ascii="Arial" w:hAnsi="Arial" w:cs="Arial"/>
          <w:b/>
          <w:sz w:val="20"/>
          <w:szCs w:val="20"/>
        </w:rPr>
        <w:t>állomány megszerzés</w:t>
      </w:r>
      <w:r w:rsidR="00FE6B4B" w:rsidRPr="00B771E2">
        <w:rPr>
          <w:rFonts w:ascii="Arial" w:hAnsi="Arial" w:cs="Arial"/>
          <w:b/>
          <w:sz w:val="20"/>
          <w:szCs w:val="20"/>
        </w:rPr>
        <w:t>, kifuttatás és</w:t>
      </w:r>
      <w:r w:rsidR="00FE6B4B" w:rsidRPr="003E72BE">
        <w:rPr>
          <w:rFonts w:ascii="Arial" w:hAnsi="Arial" w:cs="Arial"/>
          <w:b/>
          <w:sz w:val="20"/>
          <w:szCs w:val="20"/>
        </w:rPr>
        <w:t xml:space="preserve"> elidegenítés</w:t>
      </w:r>
    </w:p>
    <w:p w14:paraId="6C270B43" w14:textId="27BB7F29" w:rsidR="00FE6B4B" w:rsidRPr="00B771E2" w:rsidRDefault="00FE6B4B" w:rsidP="002F2AD2">
      <w:pPr>
        <w:ind w:firstLine="426"/>
        <w:rPr>
          <w:rFonts w:ascii="Arial" w:hAnsi="Arial" w:cs="Arial"/>
          <w:b/>
          <w:sz w:val="20"/>
          <w:szCs w:val="20"/>
        </w:rPr>
      </w:pPr>
      <w:r w:rsidRPr="00B771E2">
        <w:rPr>
          <w:rFonts w:ascii="Arial" w:hAnsi="Arial" w:cs="Arial"/>
          <w:b/>
          <w:sz w:val="20"/>
          <w:szCs w:val="20"/>
        </w:rPr>
        <w:t xml:space="preserve">P_02.08 Finanszírozási terv </w:t>
      </w:r>
      <w:r w:rsidR="008E3A5A" w:rsidRPr="00B771E2">
        <w:rPr>
          <w:rFonts w:ascii="Arial" w:hAnsi="Arial" w:cs="Arial"/>
          <w:b/>
          <w:caps/>
          <w:sz w:val="20"/>
          <w:szCs w:val="20"/>
          <w:lang w:val="en-US" w:eastAsia="en-GB"/>
        </w:rPr>
        <w:t>–</w:t>
      </w:r>
      <w:r w:rsidRPr="00B771E2">
        <w:rPr>
          <w:rFonts w:ascii="Arial" w:hAnsi="Arial" w:cs="Arial"/>
          <w:b/>
          <w:sz w:val="20"/>
          <w:szCs w:val="20"/>
        </w:rPr>
        <w:t xml:space="preserve"> Betétfelvásárlás és elidegenítés</w:t>
      </w:r>
    </w:p>
    <w:p w14:paraId="460F6307" w14:textId="5756DB6F" w:rsidR="00E00A92" w:rsidRPr="00B771E2" w:rsidRDefault="00E00A92" w:rsidP="002F2AD2">
      <w:pPr>
        <w:ind w:firstLine="426"/>
        <w:rPr>
          <w:rFonts w:ascii="Arial" w:hAnsi="Arial" w:cs="Arial"/>
          <w:b/>
          <w:sz w:val="20"/>
          <w:szCs w:val="20"/>
        </w:rPr>
      </w:pPr>
    </w:p>
    <w:p w14:paraId="7A48A50D" w14:textId="0114E687" w:rsidR="00E00A92" w:rsidRPr="00883E29" w:rsidRDefault="00E00A92" w:rsidP="003A5E87">
      <w:pPr>
        <w:jc w:val="both"/>
        <w:rPr>
          <w:rFonts w:ascii="Arial" w:hAnsi="Arial" w:cs="Arial"/>
          <w:sz w:val="20"/>
          <w:szCs w:val="20"/>
        </w:rPr>
      </w:pPr>
      <w:r w:rsidRPr="00B771E2">
        <w:rPr>
          <w:rFonts w:ascii="Arial" w:hAnsi="Arial" w:cs="Arial"/>
          <w:color w:val="000000"/>
          <w:sz w:val="20"/>
          <w:szCs w:val="20"/>
        </w:rPr>
        <w:t>A</w:t>
      </w:r>
      <w:r w:rsidR="00CB0BEE" w:rsidRPr="00CB0BEE">
        <w:rPr>
          <w:rFonts w:ascii="Arial" w:hAnsi="Arial" w:cs="Arial"/>
          <w:color w:val="000000"/>
          <w:sz w:val="20"/>
          <w:szCs w:val="20"/>
        </w:rPr>
        <w:t xml:space="preserve"> </w:t>
      </w:r>
      <w:r w:rsidR="00A5186E" w:rsidRPr="00B771E2">
        <w:rPr>
          <w:rFonts w:ascii="Arial" w:hAnsi="Arial" w:cs="Arial"/>
          <w:color w:val="000000"/>
          <w:sz w:val="20"/>
          <w:szCs w:val="20"/>
        </w:rPr>
        <w:t>P_02.07 és P_02.08 táblá</w:t>
      </w:r>
      <w:r w:rsidR="00A5186E">
        <w:rPr>
          <w:rFonts w:ascii="Arial" w:hAnsi="Arial" w:cs="Arial"/>
          <w:color w:val="000000"/>
          <w:sz w:val="20"/>
          <w:szCs w:val="20"/>
        </w:rPr>
        <w:t xml:space="preserve">t </w:t>
      </w:r>
      <w:r w:rsidRPr="00B771E2">
        <w:rPr>
          <w:rFonts w:ascii="Arial" w:hAnsi="Arial" w:cs="Arial"/>
          <w:color w:val="000000"/>
          <w:sz w:val="20"/>
          <w:szCs w:val="20"/>
        </w:rPr>
        <w:t>a CRR 4. cikk</w:t>
      </w:r>
      <w:r w:rsidR="00E77C64">
        <w:rPr>
          <w:rFonts w:ascii="Arial" w:hAnsi="Arial" w:cs="Arial"/>
          <w:color w:val="000000"/>
          <w:sz w:val="20"/>
          <w:szCs w:val="20"/>
        </w:rPr>
        <w:t xml:space="preserve"> </w:t>
      </w:r>
      <w:r w:rsidR="00A5186E">
        <w:rPr>
          <w:rFonts w:ascii="Arial" w:hAnsi="Arial" w:cs="Arial"/>
          <w:color w:val="000000"/>
          <w:sz w:val="20"/>
          <w:szCs w:val="20"/>
        </w:rPr>
        <w:t>(1) bekezdés</w:t>
      </w:r>
      <w:r w:rsidR="00A5186E" w:rsidRPr="00B771E2">
        <w:rPr>
          <w:rFonts w:ascii="Arial" w:hAnsi="Arial" w:cs="Arial"/>
          <w:color w:val="000000"/>
          <w:sz w:val="20"/>
          <w:szCs w:val="20"/>
        </w:rPr>
        <w:t xml:space="preserve"> </w:t>
      </w:r>
      <w:r w:rsidRPr="00B771E2">
        <w:rPr>
          <w:rFonts w:ascii="Arial" w:hAnsi="Arial" w:cs="Arial"/>
          <w:color w:val="000000"/>
          <w:sz w:val="20"/>
          <w:szCs w:val="20"/>
        </w:rPr>
        <w:t>145</w:t>
      </w:r>
      <w:r w:rsidR="00E77C64">
        <w:rPr>
          <w:rFonts w:ascii="Arial" w:hAnsi="Arial" w:cs="Arial"/>
          <w:color w:val="000000"/>
          <w:sz w:val="20"/>
          <w:szCs w:val="20"/>
        </w:rPr>
        <w:t xml:space="preserve">. </w:t>
      </w:r>
      <w:r w:rsidR="00A5186E">
        <w:rPr>
          <w:rFonts w:ascii="Arial" w:hAnsi="Arial" w:cs="Arial"/>
          <w:color w:val="000000"/>
          <w:sz w:val="20"/>
          <w:szCs w:val="20"/>
        </w:rPr>
        <w:t>pontja</w:t>
      </w:r>
      <w:r w:rsidR="00E77C64">
        <w:rPr>
          <w:rFonts w:ascii="Arial" w:hAnsi="Arial" w:cs="Arial"/>
          <w:color w:val="000000"/>
          <w:sz w:val="20"/>
          <w:szCs w:val="20"/>
        </w:rPr>
        <w:t xml:space="preserve"> </w:t>
      </w:r>
      <w:r w:rsidRPr="00B771E2">
        <w:rPr>
          <w:rFonts w:ascii="Arial" w:hAnsi="Arial" w:cs="Arial"/>
          <w:color w:val="000000"/>
          <w:sz w:val="20"/>
          <w:szCs w:val="20"/>
        </w:rPr>
        <w:t xml:space="preserve">szerinti </w:t>
      </w:r>
      <w:r w:rsidR="00CC6B33" w:rsidRPr="004257AC">
        <w:rPr>
          <w:rFonts w:ascii="Arial" w:hAnsi="Arial" w:cs="Arial"/>
          <w:color w:val="000000"/>
          <w:sz w:val="20"/>
          <w:szCs w:val="20"/>
        </w:rPr>
        <w:t>kis méretű és nem összetett intézmény</w:t>
      </w:r>
      <w:r w:rsidR="00A5186E">
        <w:rPr>
          <w:rFonts w:ascii="Arial" w:hAnsi="Arial" w:cs="Arial"/>
          <w:color w:val="000000"/>
          <w:sz w:val="20"/>
          <w:szCs w:val="20"/>
        </w:rPr>
        <w:t>nek</w:t>
      </w:r>
      <w:r w:rsidR="00CB0BEE">
        <w:rPr>
          <w:rFonts w:ascii="Arial" w:hAnsi="Arial" w:cs="Arial"/>
          <w:color w:val="000000"/>
          <w:sz w:val="20"/>
          <w:szCs w:val="20"/>
        </w:rPr>
        <w:t xml:space="preserve"> </w:t>
      </w:r>
      <w:r w:rsidR="00A5186E">
        <w:rPr>
          <w:rFonts w:ascii="Arial" w:hAnsi="Arial" w:cs="Arial"/>
          <w:color w:val="000000"/>
          <w:sz w:val="20"/>
          <w:szCs w:val="20"/>
        </w:rPr>
        <w:t>nem minősülő azon hitelintézetnek kell kitöltenie</w:t>
      </w:r>
      <w:r w:rsidRPr="00B771E2">
        <w:rPr>
          <w:rFonts w:ascii="Arial" w:hAnsi="Arial" w:cs="Arial"/>
          <w:color w:val="000000"/>
          <w:sz w:val="20"/>
          <w:szCs w:val="20"/>
        </w:rPr>
        <w:t>, amely mérleg</w:t>
      </w:r>
      <w:r w:rsidR="006B36F4">
        <w:rPr>
          <w:rFonts w:ascii="Arial" w:hAnsi="Arial" w:cs="Arial"/>
          <w:color w:val="000000"/>
          <w:sz w:val="20"/>
          <w:szCs w:val="20"/>
        </w:rPr>
        <w:t>e</w:t>
      </w:r>
      <w:r w:rsidRPr="00B771E2">
        <w:rPr>
          <w:rFonts w:ascii="Arial" w:hAnsi="Arial" w:cs="Arial"/>
          <w:color w:val="000000"/>
          <w:sz w:val="20"/>
          <w:szCs w:val="20"/>
        </w:rPr>
        <w:t xml:space="preserve"> lényeges</w:t>
      </w:r>
      <w:r w:rsidR="0010789F">
        <w:rPr>
          <w:rFonts w:ascii="Arial" w:hAnsi="Arial" w:cs="Arial"/>
          <w:color w:val="000000"/>
          <w:sz w:val="20"/>
          <w:szCs w:val="20"/>
        </w:rPr>
        <w:t xml:space="preserve">, </w:t>
      </w:r>
      <w:r w:rsidR="006B36F4">
        <w:rPr>
          <w:rFonts w:ascii="Arial" w:hAnsi="Arial" w:cs="Arial"/>
          <w:color w:val="000000"/>
          <w:sz w:val="20"/>
          <w:szCs w:val="20"/>
        </w:rPr>
        <w:t>illetve</w:t>
      </w:r>
      <w:r w:rsidRPr="00B771E2">
        <w:rPr>
          <w:rFonts w:ascii="Arial" w:hAnsi="Arial" w:cs="Arial"/>
          <w:color w:val="000000"/>
          <w:sz w:val="20"/>
          <w:szCs w:val="20"/>
        </w:rPr>
        <w:t xml:space="preserve"> jelentős átalakítását tervezi. </w:t>
      </w:r>
    </w:p>
    <w:p w14:paraId="777D2CC9" w14:textId="0EE44819" w:rsidR="00E00A92" w:rsidRPr="00B771E2" w:rsidRDefault="00E00A92" w:rsidP="004257AC">
      <w:pPr>
        <w:autoSpaceDE w:val="0"/>
        <w:autoSpaceDN w:val="0"/>
        <w:adjustRightInd w:val="0"/>
        <w:jc w:val="both"/>
        <w:rPr>
          <w:rFonts w:ascii="Arial" w:hAnsi="Arial" w:cs="Arial"/>
          <w:color w:val="000000"/>
          <w:sz w:val="20"/>
          <w:szCs w:val="20"/>
        </w:rPr>
      </w:pPr>
      <w:r w:rsidRPr="00B771E2">
        <w:rPr>
          <w:rFonts w:ascii="Arial" w:hAnsi="Arial" w:cs="Arial"/>
          <w:color w:val="000000"/>
          <w:sz w:val="20"/>
          <w:szCs w:val="20"/>
        </w:rPr>
        <w:t xml:space="preserve">A </w:t>
      </w:r>
      <w:r w:rsidR="006B36F4">
        <w:rPr>
          <w:rFonts w:ascii="Arial" w:hAnsi="Arial" w:cs="Arial"/>
          <w:color w:val="000000"/>
          <w:sz w:val="20"/>
          <w:szCs w:val="20"/>
        </w:rPr>
        <w:t>táblákban a</w:t>
      </w:r>
      <w:r w:rsidR="0009051D">
        <w:rPr>
          <w:rFonts w:ascii="Arial" w:hAnsi="Arial" w:cs="Arial"/>
          <w:color w:val="000000"/>
          <w:sz w:val="20"/>
          <w:szCs w:val="20"/>
        </w:rPr>
        <w:t xml:space="preserve"> </w:t>
      </w:r>
      <w:r w:rsidRPr="00B771E2">
        <w:rPr>
          <w:rFonts w:ascii="Arial" w:hAnsi="Arial" w:cs="Arial"/>
          <w:color w:val="000000"/>
          <w:sz w:val="20"/>
          <w:szCs w:val="20"/>
        </w:rPr>
        <w:t>hitelintézetnek jelent</w:t>
      </w:r>
      <w:r w:rsidR="006B36F4">
        <w:rPr>
          <w:rFonts w:ascii="Arial" w:hAnsi="Arial" w:cs="Arial"/>
          <w:color w:val="000000"/>
          <w:sz w:val="20"/>
          <w:szCs w:val="20"/>
        </w:rPr>
        <w:t>enie</w:t>
      </w:r>
      <w:r w:rsidRPr="00B771E2">
        <w:rPr>
          <w:rFonts w:ascii="Arial" w:hAnsi="Arial" w:cs="Arial"/>
          <w:color w:val="000000"/>
          <w:sz w:val="20"/>
          <w:szCs w:val="20"/>
        </w:rPr>
        <w:t xml:space="preserve"> kell a következők</w:t>
      </w:r>
      <w:r w:rsidR="006B36F4">
        <w:rPr>
          <w:rFonts w:ascii="Arial" w:hAnsi="Arial" w:cs="Arial"/>
          <w:color w:val="000000"/>
          <w:sz w:val="20"/>
          <w:szCs w:val="20"/>
        </w:rPr>
        <w:t>et</w:t>
      </w:r>
      <w:r w:rsidRPr="00B771E2">
        <w:rPr>
          <w:rFonts w:ascii="Arial" w:hAnsi="Arial" w:cs="Arial"/>
          <w:color w:val="000000"/>
          <w:sz w:val="20"/>
          <w:szCs w:val="20"/>
        </w:rPr>
        <w:t xml:space="preserve">: </w:t>
      </w:r>
    </w:p>
    <w:p w14:paraId="182C06D8" w14:textId="71644AA4" w:rsidR="00E00A92" w:rsidRPr="00B771E2" w:rsidRDefault="00E00A92" w:rsidP="00B771E2">
      <w:pPr>
        <w:autoSpaceDE w:val="0"/>
        <w:autoSpaceDN w:val="0"/>
        <w:adjustRightInd w:val="0"/>
        <w:jc w:val="both"/>
        <w:rPr>
          <w:rFonts w:ascii="Arial" w:hAnsi="Arial" w:cs="Arial"/>
          <w:color w:val="000000"/>
          <w:sz w:val="20"/>
          <w:szCs w:val="20"/>
        </w:rPr>
      </w:pPr>
      <w:r w:rsidRPr="00B771E2">
        <w:rPr>
          <w:rFonts w:ascii="Arial" w:hAnsi="Arial" w:cs="Arial"/>
          <w:color w:val="000000"/>
          <w:sz w:val="20"/>
          <w:szCs w:val="20"/>
        </w:rPr>
        <w:t>a) azon eszközök előrejelzése, amelyeket meg kíván szerezni</w:t>
      </w:r>
      <w:r w:rsidR="0009051D">
        <w:rPr>
          <w:rFonts w:ascii="Arial" w:hAnsi="Arial" w:cs="Arial"/>
          <w:color w:val="000000"/>
          <w:sz w:val="20"/>
          <w:szCs w:val="20"/>
        </w:rPr>
        <w:t>,</w:t>
      </w:r>
      <w:r w:rsidRPr="00B771E2">
        <w:rPr>
          <w:rFonts w:ascii="Arial" w:hAnsi="Arial" w:cs="Arial"/>
          <w:color w:val="000000"/>
          <w:sz w:val="20"/>
          <w:szCs w:val="20"/>
        </w:rPr>
        <w:t xml:space="preserve"> el kíván idegeníteni</w:t>
      </w:r>
      <w:r w:rsidR="0009051D">
        <w:rPr>
          <w:rFonts w:ascii="Arial" w:hAnsi="Arial" w:cs="Arial"/>
          <w:color w:val="000000"/>
          <w:sz w:val="20"/>
          <w:szCs w:val="20"/>
        </w:rPr>
        <w:t xml:space="preserve">, </w:t>
      </w:r>
      <w:r w:rsidR="006B36F4">
        <w:rPr>
          <w:rFonts w:ascii="Arial" w:hAnsi="Arial" w:cs="Arial"/>
          <w:color w:val="000000"/>
          <w:sz w:val="20"/>
          <w:szCs w:val="20"/>
        </w:rPr>
        <w:t>illetve</w:t>
      </w:r>
      <w:r w:rsidRPr="00B771E2">
        <w:rPr>
          <w:rFonts w:ascii="Arial" w:hAnsi="Arial" w:cs="Arial"/>
          <w:color w:val="000000"/>
          <w:sz w:val="20"/>
          <w:szCs w:val="20"/>
        </w:rPr>
        <w:t xml:space="preserve"> amelyeket kifuttatás céljából azonosított (P</w:t>
      </w:r>
      <w:r w:rsidR="00B771E2" w:rsidRPr="00B771E2">
        <w:rPr>
          <w:rFonts w:ascii="Arial" w:hAnsi="Arial" w:cs="Arial"/>
          <w:color w:val="000000"/>
          <w:sz w:val="20"/>
          <w:szCs w:val="20"/>
        </w:rPr>
        <w:t>_</w:t>
      </w:r>
      <w:r w:rsidRPr="00B771E2">
        <w:rPr>
          <w:rFonts w:ascii="Arial" w:hAnsi="Arial" w:cs="Arial"/>
          <w:color w:val="000000"/>
          <w:sz w:val="20"/>
          <w:szCs w:val="20"/>
        </w:rPr>
        <w:t xml:space="preserve">02.07); </w:t>
      </w:r>
    </w:p>
    <w:p w14:paraId="6C0F4EA1" w14:textId="06E51169" w:rsidR="00E00A92" w:rsidRPr="00B771E2" w:rsidRDefault="00E00A92" w:rsidP="00B771E2">
      <w:pPr>
        <w:autoSpaceDE w:val="0"/>
        <w:autoSpaceDN w:val="0"/>
        <w:adjustRightInd w:val="0"/>
        <w:jc w:val="both"/>
        <w:rPr>
          <w:rFonts w:ascii="Arial" w:hAnsi="Arial" w:cs="Arial"/>
          <w:color w:val="000000"/>
          <w:sz w:val="20"/>
          <w:szCs w:val="20"/>
        </w:rPr>
      </w:pPr>
      <w:r w:rsidRPr="00B771E2">
        <w:rPr>
          <w:rFonts w:ascii="Arial" w:hAnsi="Arial" w:cs="Arial"/>
          <w:color w:val="000000"/>
          <w:sz w:val="20"/>
          <w:szCs w:val="20"/>
        </w:rPr>
        <w:t>b) azon kötelezettségek előrejelzése, amelyeket meg kíván szerezni vagy el kíván idegeníteni (P</w:t>
      </w:r>
      <w:r w:rsidR="003E72BE">
        <w:rPr>
          <w:rFonts w:ascii="Arial" w:hAnsi="Arial" w:cs="Arial"/>
          <w:color w:val="000000"/>
          <w:sz w:val="20"/>
          <w:szCs w:val="20"/>
        </w:rPr>
        <w:t>_</w:t>
      </w:r>
      <w:r w:rsidRPr="00B771E2">
        <w:rPr>
          <w:rFonts w:ascii="Arial" w:hAnsi="Arial" w:cs="Arial"/>
          <w:color w:val="000000"/>
          <w:sz w:val="20"/>
          <w:szCs w:val="20"/>
        </w:rPr>
        <w:t>02.08).</w:t>
      </w:r>
    </w:p>
    <w:p w14:paraId="4D7A7E9A" w14:textId="52931A62" w:rsidR="00E00A92" w:rsidRPr="00B771E2" w:rsidRDefault="00E00A92" w:rsidP="00E00A92">
      <w:pPr>
        <w:autoSpaceDE w:val="0"/>
        <w:autoSpaceDN w:val="0"/>
        <w:adjustRightInd w:val="0"/>
        <w:rPr>
          <w:rFonts w:ascii="Arial" w:hAnsi="Arial" w:cs="Arial"/>
          <w:color w:val="000000"/>
          <w:sz w:val="20"/>
          <w:szCs w:val="20"/>
        </w:rPr>
      </w:pPr>
    </w:p>
    <w:p w14:paraId="6F57B2CF" w14:textId="58B8745A" w:rsidR="00E00A92" w:rsidRPr="00B771E2" w:rsidRDefault="00E00A92">
      <w:pPr>
        <w:autoSpaceDE w:val="0"/>
        <w:autoSpaceDN w:val="0"/>
        <w:adjustRightInd w:val="0"/>
        <w:spacing w:after="240"/>
        <w:jc w:val="both"/>
        <w:rPr>
          <w:rFonts w:ascii="Arial" w:hAnsi="Arial" w:cs="Arial"/>
          <w:color w:val="000000"/>
          <w:sz w:val="20"/>
          <w:szCs w:val="20"/>
        </w:rPr>
      </w:pPr>
      <w:r w:rsidRPr="00B771E2">
        <w:rPr>
          <w:rFonts w:ascii="Arial" w:hAnsi="Arial" w:cs="Arial"/>
          <w:color w:val="000000"/>
          <w:sz w:val="20"/>
          <w:szCs w:val="20"/>
        </w:rPr>
        <w:t>Annak meghatározásakor, hogy mikor kell</w:t>
      </w:r>
      <w:r w:rsidR="00F251A6" w:rsidRPr="00B771E2">
        <w:rPr>
          <w:rFonts w:ascii="Arial" w:hAnsi="Arial" w:cs="Arial"/>
          <w:color w:val="000000"/>
          <w:sz w:val="20"/>
          <w:szCs w:val="20"/>
        </w:rPr>
        <w:t xml:space="preserve"> </w:t>
      </w:r>
      <w:r w:rsidRPr="00B771E2">
        <w:rPr>
          <w:rFonts w:ascii="Arial" w:hAnsi="Arial" w:cs="Arial"/>
          <w:color w:val="000000"/>
          <w:sz w:val="20"/>
          <w:szCs w:val="20"/>
        </w:rPr>
        <w:t xml:space="preserve">egy ügyletet </w:t>
      </w:r>
      <w:r w:rsidR="00F251A6" w:rsidRPr="00B771E2">
        <w:rPr>
          <w:rFonts w:ascii="Arial" w:hAnsi="Arial" w:cs="Arial"/>
          <w:color w:val="000000"/>
          <w:sz w:val="20"/>
          <w:szCs w:val="20"/>
        </w:rPr>
        <w:t xml:space="preserve">(átszervezés, felvásárlás) </w:t>
      </w:r>
      <w:r w:rsidRPr="00B771E2">
        <w:rPr>
          <w:rFonts w:ascii="Arial" w:hAnsi="Arial" w:cs="Arial"/>
          <w:color w:val="000000"/>
          <w:sz w:val="20"/>
          <w:szCs w:val="20"/>
        </w:rPr>
        <w:t>a mérleg</w:t>
      </w:r>
      <w:r w:rsidR="00F251A6" w:rsidRPr="00B771E2">
        <w:rPr>
          <w:rFonts w:ascii="Arial" w:hAnsi="Arial" w:cs="Arial"/>
          <w:color w:val="000000"/>
          <w:sz w:val="20"/>
          <w:szCs w:val="20"/>
        </w:rPr>
        <w:t>r</w:t>
      </w:r>
      <w:r w:rsidRPr="00B771E2">
        <w:rPr>
          <w:rFonts w:ascii="Arial" w:hAnsi="Arial" w:cs="Arial"/>
          <w:color w:val="000000"/>
          <w:sz w:val="20"/>
          <w:szCs w:val="20"/>
        </w:rPr>
        <w:t xml:space="preserve">e jelentős </w:t>
      </w:r>
      <w:r w:rsidR="00F251A6" w:rsidRPr="00B771E2">
        <w:rPr>
          <w:rFonts w:ascii="Arial" w:hAnsi="Arial" w:cs="Arial"/>
          <w:color w:val="000000"/>
          <w:sz w:val="20"/>
          <w:szCs w:val="20"/>
        </w:rPr>
        <w:t>hatásúnak tekinteni</w:t>
      </w:r>
      <w:r w:rsidR="0009051D">
        <w:rPr>
          <w:rFonts w:ascii="Arial" w:hAnsi="Arial" w:cs="Arial"/>
          <w:color w:val="000000"/>
          <w:sz w:val="20"/>
          <w:szCs w:val="20"/>
        </w:rPr>
        <w:t>,</w:t>
      </w:r>
      <w:r w:rsidR="00F251A6" w:rsidRPr="00B771E2">
        <w:rPr>
          <w:rFonts w:ascii="Arial" w:hAnsi="Arial" w:cs="Arial"/>
          <w:color w:val="000000"/>
          <w:sz w:val="20"/>
          <w:szCs w:val="20"/>
        </w:rPr>
        <w:t xml:space="preserve"> </w:t>
      </w:r>
      <w:r w:rsidRPr="00B771E2">
        <w:rPr>
          <w:rFonts w:ascii="Arial" w:hAnsi="Arial" w:cs="Arial"/>
          <w:color w:val="000000"/>
          <w:sz w:val="20"/>
          <w:szCs w:val="20"/>
        </w:rPr>
        <w:t>a hitelintézetnek az ügylet üzleti stratégiáj</w:t>
      </w:r>
      <w:r w:rsidR="006B36F4">
        <w:rPr>
          <w:rFonts w:ascii="Arial" w:hAnsi="Arial" w:cs="Arial"/>
          <w:color w:val="000000"/>
          <w:sz w:val="20"/>
          <w:szCs w:val="20"/>
        </w:rPr>
        <w:t>á</w:t>
      </w:r>
      <w:r w:rsidRPr="00B771E2">
        <w:rPr>
          <w:rFonts w:ascii="Arial" w:hAnsi="Arial" w:cs="Arial"/>
          <w:color w:val="000000"/>
          <w:sz w:val="20"/>
          <w:szCs w:val="20"/>
        </w:rPr>
        <w:t>ra és finanszírozási terv</w:t>
      </w:r>
      <w:r w:rsidR="006B36F4">
        <w:rPr>
          <w:rFonts w:ascii="Arial" w:hAnsi="Arial" w:cs="Arial"/>
          <w:color w:val="000000"/>
          <w:sz w:val="20"/>
          <w:szCs w:val="20"/>
        </w:rPr>
        <w:t>é</w:t>
      </w:r>
      <w:r w:rsidRPr="00B771E2">
        <w:rPr>
          <w:rFonts w:ascii="Arial" w:hAnsi="Arial" w:cs="Arial"/>
          <w:color w:val="000000"/>
          <w:sz w:val="20"/>
          <w:szCs w:val="20"/>
        </w:rPr>
        <w:t>re gyakorolt hatását figyelembe</w:t>
      </w:r>
      <w:r w:rsidR="00F251A6" w:rsidRPr="00B771E2">
        <w:rPr>
          <w:rFonts w:ascii="Arial" w:hAnsi="Arial" w:cs="Arial"/>
          <w:color w:val="000000"/>
          <w:sz w:val="20"/>
          <w:szCs w:val="20"/>
        </w:rPr>
        <w:t>véve kell mérlegelni</w:t>
      </w:r>
      <w:r w:rsidR="006B36F4">
        <w:rPr>
          <w:rFonts w:ascii="Arial" w:hAnsi="Arial" w:cs="Arial"/>
          <w:color w:val="000000"/>
          <w:sz w:val="20"/>
          <w:szCs w:val="20"/>
        </w:rPr>
        <w:t>e</w:t>
      </w:r>
      <w:r w:rsidR="00F251A6" w:rsidRPr="00B771E2">
        <w:rPr>
          <w:rFonts w:ascii="Arial" w:hAnsi="Arial" w:cs="Arial"/>
          <w:color w:val="000000"/>
          <w:sz w:val="20"/>
          <w:szCs w:val="20"/>
        </w:rPr>
        <w:t>.</w:t>
      </w:r>
      <w:r w:rsidR="002D4AFD">
        <w:rPr>
          <w:rFonts w:ascii="Arial" w:hAnsi="Arial" w:cs="Arial"/>
          <w:color w:val="000000"/>
          <w:sz w:val="20"/>
          <w:szCs w:val="20"/>
        </w:rPr>
        <w:t xml:space="preserve"> </w:t>
      </w:r>
    </w:p>
    <w:p w14:paraId="12739960" w14:textId="7B9CBF86" w:rsidR="00E00A92" w:rsidRPr="00B771E2" w:rsidRDefault="00E00A92" w:rsidP="00B771E2">
      <w:pPr>
        <w:autoSpaceDE w:val="0"/>
        <w:autoSpaceDN w:val="0"/>
        <w:adjustRightInd w:val="0"/>
        <w:spacing w:after="240"/>
        <w:jc w:val="both"/>
        <w:rPr>
          <w:rFonts w:ascii="Arial" w:hAnsi="Arial" w:cs="Arial"/>
          <w:color w:val="000000"/>
          <w:sz w:val="20"/>
          <w:szCs w:val="20"/>
        </w:rPr>
      </w:pPr>
      <w:r w:rsidRPr="00B771E2">
        <w:rPr>
          <w:rFonts w:ascii="Arial" w:hAnsi="Arial" w:cs="Arial"/>
          <w:color w:val="000000"/>
          <w:sz w:val="20"/>
          <w:szCs w:val="20"/>
        </w:rPr>
        <w:lastRenderedPageBreak/>
        <w:t>A kifut</w:t>
      </w:r>
      <w:r w:rsidR="00B47F6E" w:rsidRPr="00B771E2">
        <w:rPr>
          <w:rFonts w:ascii="Arial" w:hAnsi="Arial" w:cs="Arial"/>
          <w:color w:val="000000"/>
          <w:sz w:val="20"/>
          <w:szCs w:val="20"/>
        </w:rPr>
        <w:t>tat</w:t>
      </w:r>
      <w:r w:rsidRPr="00B771E2">
        <w:rPr>
          <w:rFonts w:ascii="Arial" w:hAnsi="Arial" w:cs="Arial"/>
          <w:color w:val="000000"/>
          <w:sz w:val="20"/>
          <w:szCs w:val="20"/>
        </w:rPr>
        <w:t xml:space="preserve">ás és az eszközök elidegenítése olyan eszközökre </w:t>
      </w:r>
      <w:r w:rsidR="006B36F4">
        <w:rPr>
          <w:rFonts w:ascii="Arial" w:hAnsi="Arial" w:cs="Arial"/>
          <w:color w:val="000000"/>
          <w:sz w:val="20"/>
          <w:szCs w:val="20"/>
        </w:rPr>
        <w:t>értendő</w:t>
      </w:r>
      <w:r w:rsidRPr="00B771E2">
        <w:rPr>
          <w:rFonts w:ascii="Arial" w:hAnsi="Arial" w:cs="Arial"/>
          <w:color w:val="000000"/>
          <w:sz w:val="20"/>
          <w:szCs w:val="20"/>
        </w:rPr>
        <w:t>, amelyeket</w:t>
      </w:r>
      <w:r w:rsidR="00664D31">
        <w:rPr>
          <w:rFonts w:ascii="Arial" w:hAnsi="Arial" w:cs="Arial"/>
          <w:color w:val="000000"/>
          <w:sz w:val="20"/>
          <w:szCs w:val="20"/>
        </w:rPr>
        <w:t xml:space="preserve"> </w:t>
      </w:r>
      <w:r w:rsidRPr="00B771E2">
        <w:rPr>
          <w:rFonts w:ascii="Arial" w:hAnsi="Arial" w:cs="Arial"/>
          <w:color w:val="000000"/>
          <w:sz w:val="20"/>
          <w:szCs w:val="20"/>
        </w:rPr>
        <w:t>stratégiailag nem újítanak meg a lejáratkor, vagy amelyek esetében a másik szerződő felet akár közvetlenül, akár a portfólió más intézménynek történő stratégiai eladása útján arra bátorítják, hogy keressenek másik finanszírozó</w:t>
      </w:r>
      <w:r w:rsidR="00E15BE4">
        <w:rPr>
          <w:rFonts w:ascii="Arial" w:hAnsi="Arial" w:cs="Arial"/>
          <w:color w:val="000000"/>
          <w:sz w:val="20"/>
          <w:szCs w:val="20"/>
        </w:rPr>
        <w:t>t</w:t>
      </w:r>
      <w:r w:rsidR="002D4AFD">
        <w:rPr>
          <w:rFonts w:ascii="Arial" w:hAnsi="Arial" w:cs="Arial"/>
          <w:color w:val="000000"/>
          <w:sz w:val="20"/>
          <w:szCs w:val="20"/>
        </w:rPr>
        <w:t>. A</w:t>
      </w:r>
      <w:r w:rsidRPr="00B771E2">
        <w:rPr>
          <w:rFonts w:ascii="Arial" w:hAnsi="Arial" w:cs="Arial"/>
          <w:color w:val="000000"/>
          <w:sz w:val="20"/>
          <w:szCs w:val="20"/>
        </w:rPr>
        <w:t xml:space="preserve">z eszközök megszerzése olyan eszközökre </w:t>
      </w:r>
      <w:r w:rsidR="006B36F4">
        <w:rPr>
          <w:rFonts w:ascii="Arial" w:hAnsi="Arial" w:cs="Arial"/>
          <w:color w:val="000000"/>
          <w:sz w:val="20"/>
          <w:szCs w:val="20"/>
        </w:rPr>
        <w:t>értendő</w:t>
      </w:r>
      <w:r w:rsidRPr="00B771E2">
        <w:rPr>
          <w:rFonts w:ascii="Arial" w:hAnsi="Arial" w:cs="Arial"/>
          <w:color w:val="000000"/>
          <w:sz w:val="20"/>
          <w:szCs w:val="20"/>
        </w:rPr>
        <w:t xml:space="preserve">, amelyeket stratégiai úton szereztek meg meglévő eszközök portfóliójának egy másik intézménytől történő megvásárlásával. </w:t>
      </w:r>
    </w:p>
    <w:p w14:paraId="77CFBA2F" w14:textId="3ECF95E6" w:rsidR="00E00A92" w:rsidRPr="00B771E2" w:rsidRDefault="00E00A92" w:rsidP="00B771E2">
      <w:pPr>
        <w:autoSpaceDE w:val="0"/>
        <w:autoSpaceDN w:val="0"/>
        <w:adjustRightInd w:val="0"/>
        <w:spacing w:after="240"/>
        <w:jc w:val="both"/>
        <w:rPr>
          <w:rFonts w:ascii="Arial" w:hAnsi="Arial" w:cs="Arial"/>
          <w:color w:val="000000"/>
          <w:sz w:val="20"/>
          <w:szCs w:val="20"/>
        </w:rPr>
      </w:pPr>
      <w:r w:rsidRPr="00B771E2">
        <w:rPr>
          <w:rFonts w:ascii="Arial" w:hAnsi="Arial" w:cs="Arial"/>
          <w:color w:val="000000"/>
          <w:sz w:val="20"/>
          <w:szCs w:val="20"/>
        </w:rPr>
        <w:t xml:space="preserve">A kötelezettségek megszerzése olyan kötelezettségekre </w:t>
      </w:r>
      <w:r w:rsidR="006B36F4">
        <w:rPr>
          <w:rFonts w:ascii="Arial" w:hAnsi="Arial" w:cs="Arial"/>
          <w:color w:val="000000"/>
          <w:sz w:val="20"/>
          <w:szCs w:val="20"/>
        </w:rPr>
        <w:t>értendő</w:t>
      </w:r>
      <w:r w:rsidRPr="00B771E2">
        <w:rPr>
          <w:rFonts w:ascii="Arial" w:hAnsi="Arial" w:cs="Arial"/>
          <w:color w:val="000000"/>
          <w:sz w:val="20"/>
          <w:szCs w:val="20"/>
        </w:rPr>
        <w:t xml:space="preserve">, amelyeket stratégiai úton szereztek meg egy másik szerződő féltől vagy idegenítettek el ilyennek, például egy egyesülés vagy felvásárlás eredményeként. </w:t>
      </w:r>
    </w:p>
    <w:p w14:paraId="772693C2" w14:textId="31D18C19" w:rsidR="00E00A92" w:rsidRPr="00B771E2" w:rsidRDefault="00E00A92" w:rsidP="00B771E2">
      <w:pPr>
        <w:autoSpaceDE w:val="0"/>
        <w:autoSpaceDN w:val="0"/>
        <w:adjustRightInd w:val="0"/>
        <w:spacing w:after="240"/>
        <w:jc w:val="both"/>
        <w:rPr>
          <w:rFonts w:ascii="Arial" w:hAnsi="Arial" w:cs="Arial"/>
          <w:color w:val="000000"/>
          <w:sz w:val="20"/>
          <w:szCs w:val="20"/>
        </w:rPr>
      </w:pPr>
      <w:r w:rsidRPr="00B771E2">
        <w:rPr>
          <w:rFonts w:ascii="Arial" w:hAnsi="Arial" w:cs="Arial"/>
          <w:color w:val="000000"/>
          <w:sz w:val="20"/>
          <w:szCs w:val="20"/>
        </w:rPr>
        <w:t xml:space="preserve">Az akvizíciókat az elidegenítések és kifuttatások nélkül kell jelenteni. </w:t>
      </w:r>
    </w:p>
    <w:p w14:paraId="13551520" w14:textId="379E51D9" w:rsidR="00D355A2" w:rsidRPr="00B771E2" w:rsidRDefault="00E00A92" w:rsidP="00FE6B4B">
      <w:pPr>
        <w:jc w:val="both"/>
        <w:rPr>
          <w:rFonts w:ascii="Arial" w:hAnsi="Arial" w:cs="Arial"/>
          <w:sz w:val="20"/>
          <w:szCs w:val="20"/>
        </w:rPr>
      </w:pPr>
      <w:r w:rsidRPr="00B771E2">
        <w:rPr>
          <w:rFonts w:ascii="Arial" w:hAnsi="Arial" w:cs="Arial"/>
          <w:color w:val="000000"/>
          <w:sz w:val="20"/>
          <w:szCs w:val="20"/>
        </w:rPr>
        <w:t>A</w:t>
      </w:r>
      <w:r w:rsidR="00B47F6E" w:rsidRPr="00B771E2">
        <w:rPr>
          <w:rFonts w:ascii="Arial" w:hAnsi="Arial" w:cs="Arial"/>
          <w:color w:val="000000"/>
          <w:sz w:val="20"/>
          <w:szCs w:val="20"/>
        </w:rPr>
        <w:t xml:space="preserve"> </w:t>
      </w:r>
      <w:r w:rsidRPr="00B771E2">
        <w:rPr>
          <w:rFonts w:ascii="Arial" w:hAnsi="Arial" w:cs="Arial"/>
          <w:color w:val="000000"/>
          <w:sz w:val="20"/>
          <w:szCs w:val="20"/>
        </w:rPr>
        <w:t>tábl</w:t>
      </w:r>
      <w:r w:rsidR="00B47F6E" w:rsidRPr="00B771E2">
        <w:rPr>
          <w:rFonts w:ascii="Arial" w:hAnsi="Arial" w:cs="Arial"/>
          <w:color w:val="000000"/>
          <w:sz w:val="20"/>
          <w:szCs w:val="20"/>
        </w:rPr>
        <w:t>ákban az eszközt vagy kötelezettsége</w:t>
      </w:r>
      <w:r w:rsidR="006B36F4">
        <w:rPr>
          <w:rFonts w:ascii="Arial" w:hAnsi="Arial" w:cs="Arial"/>
          <w:color w:val="000000"/>
          <w:sz w:val="20"/>
          <w:szCs w:val="20"/>
        </w:rPr>
        <w:t>t</w:t>
      </w:r>
      <w:r w:rsidR="00B47F6E" w:rsidRPr="00B771E2">
        <w:rPr>
          <w:rFonts w:ascii="Arial" w:hAnsi="Arial" w:cs="Arial"/>
          <w:color w:val="000000"/>
          <w:sz w:val="20"/>
          <w:szCs w:val="20"/>
        </w:rPr>
        <w:t xml:space="preserve"> negatív előjellel </w:t>
      </w:r>
      <w:r w:rsidR="00DF1A6B">
        <w:rPr>
          <w:rFonts w:ascii="Arial" w:hAnsi="Arial" w:cs="Arial"/>
          <w:color w:val="000000"/>
          <w:sz w:val="20"/>
          <w:szCs w:val="20"/>
        </w:rPr>
        <w:t>kell j</w:t>
      </w:r>
      <w:r w:rsidRPr="00B771E2">
        <w:rPr>
          <w:rFonts w:ascii="Arial" w:hAnsi="Arial" w:cs="Arial"/>
          <w:color w:val="000000"/>
          <w:sz w:val="20"/>
          <w:szCs w:val="20"/>
        </w:rPr>
        <w:t>elenteni, ha egy cég egy eszközt</w:t>
      </w:r>
      <w:r w:rsidR="00AD1E3F">
        <w:rPr>
          <w:rFonts w:ascii="Arial" w:hAnsi="Arial" w:cs="Arial"/>
          <w:color w:val="000000"/>
          <w:sz w:val="20"/>
          <w:szCs w:val="20"/>
        </w:rPr>
        <w:t>,</w:t>
      </w:r>
      <w:r w:rsidR="00B47F6E" w:rsidRPr="00B771E2">
        <w:rPr>
          <w:rFonts w:ascii="Arial" w:hAnsi="Arial" w:cs="Arial"/>
          <w:color w:val="000000"/>
          <w:sz w:val="20"/>
          <w:szCs w:val="20"/>
        </w:rPr>
        <w:t xml:space="preserve"> kötelezettséget </w:t>
      </w:r>
      <w:r w:rsidRPr="00B771E2">
        <w:rPr>
          <w:rFonts w:ascii="Arial" w:hAnsi="Arial" w:cs="Arial"/>
          <w:color w:val="000000"/>
          <w:sz w:val="20"/>
          <w:szCs w:val="20"/>
        </w:rPr>
        <w:t xml:space="preserve">el kíván idegeníteni, </w:t>
      </w:r>
      <w:r w:rsidR="006B36F4">
        <w:rPr>
          <w:rFonts w:ascii="Arial" w:hAnsi="Arial" w:cs="Arial"/>
          <w:color w:val="000000"/>
          <w:sz w:val="20"/>
          <w:szCs w:val="20"/>
        </w:rPr>
        <w:t>illetve</w:t>
      </w:r>
      <w:r w:rsidRPr="00B771E2">
        <w:rPr>
          <w:rFonts w:ascii="Arial" w:hAnsi="Arial" w:cs="Arial"/>
          <w:color w:val="000000"/>
          <w:sz w:val="20"/>
          <w:szCs w:val="20"/>
        </w:rPr>
        <w:t xml:space="preserve"> egy eszközt</w:t>
      </w:r>
      <w:r w:rsidR="00AD1E3F">
        <w:rPr>
          <w:rFonts w:ascii="Arial" w:hAnsi="Arial" w:cs="Arial"/>
          <w:color w:val="000000"/>
          <w:sz w:val="20"/>
          <w:szCs w:val="20"/>
        </w:rPr>
        <w:t>,</w:t>
      </w:r>
      <w:r w:rsidRPr="00B771E2">
        <w:rPr>
          <w:rFonts w:ascii="Arial" w:hAnsi="Arial" w:cs="Arial"/>
          <w:color w:val="000000"/>
          <w:sz w:val="20"/>
          <w:szCs w:val="20"/>
        </w:rPr>
        <w:t xml:space="preserve"> </w:t>
      </w:r>
      <w:r w:rsidR="00B47F6E" w:rsidRPr="00B771E2">
        <w:rPr>
          <w:rFonts w:ascii="Arial" w:hAnsi="Arial" w:cs="Arial"/>
          <w:color w:val="000000"/>
          <w:sz w:val="20"/>
          <w:szCs w:val="20"/>
        </w:rPr>
        <w:t xml:space="preserve">kötelezettséget </w:t>
      </w:r>
      <w:r w:rsidRPr="00B771E2">
        <w:rPr>
          <w:rFonts w:ascii="Arial" w:hAnsi="Arial" w:cs="Arial"/>
          <w:color w:val="000000"/>
          <w:sz w:val="20"/>
          <w:szCs w:val="20"/>
        </w:rPr>
        <w:t>ki</w:t>
      </w:r>
      <w:r w:rsidR="00B47F6E" w:rsidRPr="00B771E2">
        <w:rPr>
          <w:rFonts w:ascii="Arial" w:hAnsi="Arial" w:cs="Arial"/>
          <w:color w:val="000000"/>
          <w:sz w:val="20"/>
          <w:szCs w:val="20"/>
        </w:rPr>
        <w:t xml:space="preserve"> akar futtatni. </w:t>
      </w:r>
    </w:p>
    <w:p w14:paraId="27FC41AA" w14:textId="4218318F" w:rsidR="00FE6B4B" w:rsidRPr="00B771E2" w:rsidRDefault="00FE6B4B" w:rsidP="00FE6B4B">
      <w:pPr>
        <w:jc w:val="both"/>
        <w:rPr>
          <w:rFonts w:ascii="Arial" w:hAnsi="Arial" w:cs="Arial"/>
          <w:sz w:val="20"/>
          <w:szCs w:val="20"/>
        </w:rPr>
      </w:pPr>
      <w:r w:rsidRPr="00B771E2">
        <w:rPr>
          <w:rFonts w:ascii="Arial" w:hAnsi="Arial" w:cs="Arial"/>
          <w:sz w:val="20"/>
          <w:szCs w:val="20"/>
        </w:rPr>
        <w:t>A vásárlás, kifuttatás, elidegenítés eredményét nettó módon kell jelenteni.</w:t>
      </w:r>
    </w:p>
    <w:p w14:paraId="136FCC69" w14:textId="77777777" w:rsidR="00FE6B4B" w:rsidRPr="00B771E2" w:rsidRDefault="00FE6B4B" w:rsidP="00FE6B4B">
      <w:pPr>
        <w:jc w:val="both"/>
        <w:rPr>
          <w:rFonts w:ascii="Arial" w:hAnsi="Arial" w:cs="Arial"/>
          <w:sz w:val="20"/>
          <w:szCs w:val="20"/>
        </w:rPr>
      </w:pPr>
    </w:p>
    <w:p w14:paraId="43018DB8" w14:textId="77777777" w:rsidR="00FE6B4B" w:rsidRPr="00B771E2" w:rsidRDefault="00FE6B4B" w:rsidP="00FE6B4B">
      <w:pPr>
        <w:jc w:val="both"/>
        <w:rPr>
          <w:rFonts w:ascii="Arial" w:hAnsi="Arial" w:cs="Arial"/>
          <w:sz w:val="20"/>
          <w:szCs w:val="20"/>
        </w:rPr>
      </w:pPr>
      <w:r w:rsidRPr="00B771E2">
        <w:rPr>
          <w:rFonts w:ascii="Arial" w:hAnsi="Arial" w:cs="Arial"/>
          <w:sz w:val="20"/>
          <w:szCs w:val="20"/>
        </w:rPr>
        <w:t>A táblák szerkezete a P</w:t>
      </w:r>
      <w:r w:rsidR="00857983" w:rsidRPr="00B771E2">
        <w:rPr>
          <w:rFonts w:ascii="Arial" w:hAnsi="Arial" w:cs="Arial"/>
          <w:sz w:val="20"/>
          <w:szCs w:val="20"/>
        </w:rPr>
        <w:t>_</w:t>
      </w:r>
      <w:r w:rsidRPr="00B771E2">
        <w:rPr>
          <w:rFonts w:ascii="Arial" w:hAnsi="Arial" w:cs="Arial"/>
          <w:sz w:val="20"/>
          <w:szCs w:val="20"/>
        </w:rPr>
        <w:t>01.01 és P</w:t>
      </w:r>
      <w:r w:rsidR="00857983" w:rsidRPr="00B771E2">
        <w:rPr>
          <w:rFonts w:ascii="Arial" w:hAnsi="Arial" w:cs="Arial"/>
          <w:sz w:val="20"/>
          <w:szCs w:val="20"/>
        </w:rPr>
        <w:t>_</w:t>
      </w:r>
      <w:r w:rsidRPr="00B771E2">
        <w:rPr>
          <w:rFonts w:ascii="Arial" w:hAnsi="Arial" w:cs="Arial"/>
          <w:sz w:val="20"/>
          <w:szCs w:val="20"/>
        </w:rPr>
        <w:t xml:space="preserve">01.02 táblák szerkezetével azonos, az egyes sorok kitöltésénél az ott leírtakat kell figyelembe venni. </w:t>
      </w:r>
    </w:p>
    <w:p w14:paraId="2DA6A0D0" w14:textId="77777777" w:rsidR="00FE6B4B" w:rsidRPr="00B771E2" w:rsidRDefault="00FE6B4B" w:rsidP="00FE6B4B">
      <w:pPr>
        <w:jc w:val="both"/>
        <w:rPr>
          <w:rFonts w:ascii="Arial" w:hAnsi="Arial" w:cs="Arial"/>
          <w:sz w:val="20"/>
          <w:szCs w:val="20"/>
        </w:rPr>
      </w:pPr>
    </w:p>
    <w:p w14:paraId="6C7424A6" w14:textId="77777777" w:rsidR="00FE6B4B" w:rsidRPr="00B771E2" w:rsidRDefault="00FE6B4B" w:rsidP="00FE6B4B">
      <w:pPr>
        <w:rPr>
          <w:rFonts w:ascii="Arial" w:hAnsi="Arial" w:cs="Arial"/>
          <w:sz w:val="20"/>
          <w:szCs w:val="20"/>
        </w:rPr>
      </w:pPr>
    </w:p>
    <w:p w14:paraId="4EC8F5FC" w14:textId="2341DBE9" w:rsidR="00DC4481" w:rsidRPr="00B771E2" w:rsidRDefault="00DC4481" w:rsidP="00FE6B4B">
      <w:pPr>
        <w:autoSpaceDE w:val="0"/>
        <w:autoSpaceDN w:val="0"/>
        <w:adjustRightInd w:val="0"/>
        <w:rPr>
          <w:rFonts w:ascii="Arial" w:hAnsi="Arial" w:cs="Arial"/>
          <w:b/>
          <w:sz w:val="20"/>
          <w:szCs w:val="20"/>
        </w:rPr>
      </w:pPr>
      <w:r w:rsidRPr="00B771E2">
        <w:rPr>
          <w:rFonts w:ascii="Arial" w:hAnsi="Arial" w:cs="Arial"/>
          <w:b/>
          <w:sz w:val="20"/>
          <w:szCs w:val="20"/>
        </w:rPr>
        <w:t xml:space="preserve">11. P_04.01 Finanszírozási terv – Eredménykimutatás </w:t>
      </w:r>
    </w:p>
    <w:p w14:paraId="309E2E2C" w14:textId="3F5E0E20" w:rsidR="00D040DE" w:rsidRPr="00B771E2" w:rsidRDefault="00D040DE" w:rsidP="00FE6B4B">
      <w:pPr>
        <w:autoSpaceDE w:val="0"/>
        <w:autoSpaceDN w:val="0"/>
        <w:adjustRightInd w:val="0"/>
        <w:rPr>
          <w:rFonts w:ascii="Arial" w:hAnsi="Arial" w:cs="Arial"/>
          <w:b/>
          <w:sz w:val="20"/>
          <w:szCs w:val="20"/>
        </w:rPr>
      </w:pPr>
    </w:p>
    <w:p w14:paraId="67790B03" w14:textId="77777777" w:rsidR="006B36F4" w:rsidRPr="00B771E2" w:rsidRDefault="006B36F4" w:rsidP="006B36F4">
      <w:pPr>
        <w:autoSpaceDE w:val="0"/>
        <w:autoSpaceDN w:val="0"/>
        <w:adjustRightInd w:val="0"/>
        <w:spacing w:after="240"/>
        <w:jc w:val="both"/>
        <w:rPr>
          <w:rFonts w:ascii="Arial" w:hAnsi="Arial" w:cs="Arial"/>
          <w:color w:val="000000"/>
          <w:sz w:val="20"/>
          <w:szCs w:val="20"/>
        </w:rPr>
      </w:pPr>
      <w:r w:rsidRPr="00B771E2">
        <w:rPr>
          <w:rFonts w:ascii="Arial" w:hAnsi="Arial" w:cs="Arial"/>
          <w:color w:val="000000"/>
          <w:sz w:val="20"/>
          <w:szCs w:val="20"/>
        </w:rPr>
        <w:t>A P</w:t>
      </w:r>
      <w:r>
        <w:rPr>
          <w:rFonts w:ascii="Arial" w:hAnsi="Arial" w:cs="Arial"/>
          <w:color w:val="000000"/>
          <w:sz w:val="20"/>
          <w:szCs w:val="20"/>
        </w:rPr>
        <w:t>_</w:t>
      </w:r>
      <w:r w:rsidRPr="00B771E2">
        <w:rPr>
          <w:rFonts w:ascii="Arial" w:hAnsi="Arial" w:cs="Arial"/>
          <w:color w:val="000000"/>
          <w:sz w:val="20"/>
          <w:szCs w:val="20"/>
        </w:rPr>
        <w:t>04.01 táblát a CRR 4. cikk</w:t>
      </w:r>
      <w:r>
        <w:rPr>
          <w:rFonts w:ascii="Arial" w:hAnsi="Arial" w:cs="Arial"/>
          <w:color w:val="000000"/>
          <w:sz w:val="20"/>
          <w:szCs w:val="20"/>
        </w:rPr>
        <w:t xml:space="preserve"> (1) bekezdés</w:t>
      </w:r>
      <w:r w:rsidRPr="00B771E2">
        <w:rPr>
          <w:rFonts w:ascii="Arial" w:hAnsi="Arial" w:cs="Arial"/>
          <w:color w:val="000000"/>
          <w:sz w:val="20"/>
          <w:szCs w:val="20"/>
        </w:rPr>
        <w:t xml:space="preserve"> 145</w:t>
      </w:r>
      <w:r>
        <w:rPr>
          <w:rFonts w:ascii="Arial" w:hAnsi="Arial" w:cs="Arial"/>
          <w:color w:val="000000"/>
          <w:sz w:val="20"/>
          <w:szCs w:val="20"/>
        </w:rPr>
        <w:t>. pontja</w:t>
      </w:r>
      <w:r w:rsidRPr="00B771E2">
        <w:rPr>
          <w:rFonts w:ascii="Arial" w:hAnsi="Arial" w:cs="Arial"/>
          <w:color w:val="000000"/>
          <w:sz w:val="20"/>
          <w:szCs w:val="20"/>
        </w:rPr>
        <w:t xml:space="preserve"> szerinti </w:t>
      </w:r>
      <w:r w:rsidRPr="00412380">
        <w:rPr>
          <w:rFonts w:ascii="Arial" w:hAnsi="Arial" w:cs="Arial"/>
          <w:color w:val="000000"/>
          <w:sz w:val="20"/>
          <w:szCs w:val="20"/>
        </w:rPr>
        <w:t xml:space="preserve">kis méretű és nem összetett </w:t>
      </w:r>
      <w:r w:rsidRPr="00B771E2">
        <w:rPr>
          <w:rFonts w:ascii="Arial" w:hAnsi="Arial" w:cs="Arial"/>
          <w:color w:val="000000"/>
          <w:sz w:val="20"/>
          <w:szCs w:val="20"/>
        </w:rPr>
        <w:t>intézmény</w:t>
      </w:r>
      <w:r>
        <w:rPr>
          <w:rFonts w:ascii="Arial" w:hAnsi="Arial" w:cs="Arial"/>
          <w:color w:val="000000"/>
          <w:sz w:val="20"/>
          <w:szCs w:val="20"/>
        </w:rPr>
        <w:t>n</w:t>
      </w:r>
      <w:r w:rsidRPr="00B771E2">
        <w:rPr>
          <w:rFonts w:ascii="Arial" w:hAnsi="Arial" w:cs="Arial"/>
          <w:color w:val="000000"/>
          <w:sz w:val="20"/>
          <w:szCs w:val="20"/>
        </w:rPr>
        <w:t xml:space="preserve">ek </w:t>
      </w:r>
      <w:r>
        <w:rPr>
          <w:rFonts w:ascii="Arial" w:hAnsi="Arial" w:cs="Arial"/>
          <w:color w:val="000000"/>
          <w:sz w:val="20"/>
          <w:szCs w:val="20"/>
        </w:rPr>
        <w:t>nem minősülő hitelintézetnek kell kitöltenie</w:t>
      </w:r>
      <w:r w:rsidRPr="00B771E2">
        <w:rPr>
          <w:rFonts w:ascii="Arial" w:hAnsi="Arial" w:cs="Arial"/>
          <w:color w:val="000000"/>
          <w:sz w:val="20"/>
          <w:szCs w:val="20"/>
        </w:rPr>
        <w:t>.</w:t>
      </w:r>
    </w:p>
    <w:p w14:paraId="29A8724B" w14:textId="52D06306" w:rsidR="006B36F4" w:rsidRPr="00B771E2" w:rsidRDefault="006B36F4" w:rsidP="006B36F4">
      <w:pPr>
        <w:autoSpaceDE w:val="0"/>
        <w:autoSpaceDN w:val="0"/>
        <w:adjustRightInd w:val="0"/>
        <w:spacing w:after="240"/>
        <w:jc w:val="both"/>
        <w:rPr>
          <w:rFonts w:ascii="Arial" w:hAnsi="Arial" w:cs="Arial"/>
          <w:color w:val="000000"/>
          <w:sz w:val="20"/>
          <w:szCs w:val="20"/>
        </w:rPr>
      </w:pPr>
      <w:r>
        <w:rPr>
          <w:rFonts w:ascii="Arial" w:hAnsi="Arial" w:cs="Arial"/>
          <w:color w:val="000000"/>
          <w:sz w:val="20"/>
          <w:szCs w:val="20"/>
        </w:rPr>
        <w:t>A</w:t>
      </w:r>
      <w:r w:rsidRPr="00B771E2">
        <w:rPr>
          <w:rFonts w:ascii="Arial" w:hAnsi="Arial" w:cs="Arial"/>
          <w:color w:val="000000"/>
          <w:sz w:val="20"/>
          <w:szCs w:val="20"/>
        </w:rPr>
        <w:t xml:space="preserve"> tábl</w:t>
      </w:r>
      <w:r>
        <w:rPr>
          <w:rFonts w:ascii="Arial" w:hAnsi="Arial" w:cs="Arial"/>
          <w:color w:val="000000"/>
          <w:sz w:val="20"/>
          <w:szCs w:val="20"/>
        </w:rPr>
        <w:t>ában</w:t>
      </w:r>
      <w:r w:rsidRPr="00B771E2">
        <w:rPr>
          <w:rFonts w:ascii="Arial" w:hAnsi="Arial" w:cs="Arial"/>
          <w:color w:val="000000"/>
          <w:sz w:val="20"/>
          <w:szCs w:val="20"/>
        </w:rPr>
        <w:t xml:space="preserve"> a</w:t>
      </w:r>
      <w:r w:rsidR="004E79A7">
        <w:rPr>
          <w:rFonts w:ascii="Arial" w:hAnsi="Arial" w:cs="Arial"/>
          <w:color w:val="000000"/>
          <w:sz w:val="20"/>
          <w:szCs w:val="20"/>
        </w:rPr>
        <w:t>z</w:t>
      </w:r>
      <w:r w:rsidRPr="00B771E2">
        <w:rPr>
          <w:rFonts w:ascii="Arial" w:hAnsi="Arial" w:cs="Arial"/>
          <w:color w:val="000000"/>
          <w:sz w:val="20"/>
          <w:szCs w:val="20"/>
        </w:rPr>
        <w:t xml:space="preserve"> </w:t>
      </w:r>
      <w:r w:rsidR="004E79A7">
        <w:rPr>
          <w:rFonts w:ascii="Arial" w:hAnsi="Arial" w:cs="Arial"/>
          <w:sz w:val="20"/>
          <w:szCs w:val="20"/>
        </w:rPr>
        <w:t>(EU) 2021/451</w:t>
      </w:r>
      <w:r w:rsidR="004E79A7" w:rsidRPr="00ED3820">
        <w:rPr>
          <w:rFonts w:ascii="Arial" w:hAnsi="Arial" w:cs="Arial"/>
          <w:sz w:val="20"/>
          <w:szCs w:val="20"/>
        </w:rPr>
        <w:t xml:space="preserve"> </w:t>
      </w:r>
      <w:r>
        <w:rPr>
          <w:rFonts w:ascii="Arial" w:hAnsi="Arial" w:cs="Arial"/>
          <w:color w:val="000000"/>
          <w:sz w:val="20"/>
          <w:szCs w:val="20"/>
        </w:rPr>
        <w:t xml:space="preserve">bizottsági végrehajtási </w:t>
      </w:r>
      <w:r w:rsidRPr="00B771E2">
        <w:rPr>
          <w:rFonts w:ascii="Arial" w:hAnsi="Arial" w:cs="Arial"/>
          <w:color w:val="000000"/>
          <w:sz w:val="20"/>
          <w:szCs w:val="20"/>
        </w:rPr>
        <w:t>rendelet III. mellékletében szereplő F</w:t>
      </w:r>
      <w:r>
        <w:rPr>
          <w:rFonts w:ascii="Arial" w:hAnsi="Arial" w:cs="Arial"/>
          <w:color w:val="000000"/>
          <w:sz w:val="20"/>
          <w:szCs w:val="20"/>
        </w:rPr>
        <w:t xml:space="preserve"> </w:t>
      </w:r>
      <w:r w:rsidRPr="00B771E2">
        <w:rPr>
          <w:rFonts w:ascii="Arial" w:hAnsi="Arial" w:cs="Arial"/>
          <w:color w:val="000000"/>
          <w:sz w:val="20"/>
          <w:szCs w:val="20"/>
        </w:rPr>
        <w:t xml:space="preserve">02.00 - Eredménykimutatás táblából származó kiválasztott információkat </w:t>
      </w:r>
      <w:r>
        <w:rPr>
          <w:rFonts w:ascii="Arial" w:hAnsi="Arial" w:cs="Arial"/>
          <w:color w:val="000000"/>
          <w:sz w:val="20"/>
          <w:szCs w:val="20"/>
        </w:rPr>
        <w:t>kell jelenteni</w:t>
      </w:r>
      <w:r w:rsidRPr="00B771E2">
        <w:rPr>
          <w:rFonts w:ascii="Arial" w:hAnsi="Arial" w:cs="Arial"/>
          <w:color w:val="000000"/>
          <w:sz w:val="20"/>
          <w:szCs w:val="20"/>
        </w:rPr>
        <w:t xml:space="preserve">, a kitöltésre vonatkozó </w:t>
      </w:r>
      <w:r>
        <w:rPr>
          <w:rFonts w:ascii="Arial" w:hAnsi="Arial" w:cs="Arial"/>
          <w:color w:val="000000"/>
          <w:sz w:val="20"/>
          <w:szCs w:val="20"/>
        </w:rPr>
        <w:t>előírásokat</w:t>
      </w:r>
      <w:r w:rsidRPr="00B771E2">
        <w:rPr>
          <w:rFonts w:ascii="Arial" w:hAnsi="Arial" w:cs="Arial"/>
          <w:color w:val="000000"/>
          <w:sz w:val="20"/>
          <w:szCs w:val="20"/>
        </w:rPr>
        <w:t xml:space="preserve"> a</w:t>
      </w:r>
      <w:r w:rsidR="004E79A7">
        <w:rPr>
          <w:rFonts w:ascii="Arial" w:hAnsi="Arial" w:cs="Arial"/>
          <w:color w:val="000000"/>
          <w:sz w:val="20"/>
          <w:szCs w:val="20"/>
        </w:rPr>
        <w:t>z</w:t>
      </w:r>
      <w:r w:rsidRPr="00B771E2">
        <w:rPr>
          <w:rFonts w:ascii="Arial" w:hAnsi="Arial" w:cs="Arial"/>
          <w:color w:val="000000"/>
          <w:sz w:val="20"/>
          <w:szCs w:val="20"/>
        </w:rPr>
        <w:t xml:space="preserve"> </w:t>
      </w:r>
      <w:r w:rsidR="004E79A7">
        <w:rPr>
          <w:rFonts w:ascii="Arial" w:hAnsi="Arial" w:cs="Arial"/>
          <w:sz w:val="20"/>
          <w:szCs w:val="20"/>
        </w:rPr>
        <w:t>(EU) 2021/451</w:t>
      </w:r>
      <w:r w:rsidR="004E79A7" w:rsidRPr="00ED3820">
        <w:rPr>
          <w:rFonts w:ascii="Arial" w:hAnsi="Arial" w:cs="Arial"/>
          <w:sz w:val="20"/>
          <w:szCs w:val="20"/>
        </w:rPr>
        <w:t xml:space="preserve"> </w:t>
      </w:r>
      <w:r w:rsidR="005737DB">
        <w:rPr>
          <w:rFonts w:ascii="Arial" w:hAnsi="Arial" w:cs="Arial"/>
          <w:color w:val="000000"/>
          <w:sz w:val="20"/>
          <w:szCs w:val="20"/>
        </w:rPr>
        <w:t xml:space="preserve">bizottsági végrehajtási </w:t>
      </w:r>
      <w:r w:rsidR="005737DB" w:rsidRPr="00B771E2">
        <w:rPr>
          <w:rFonts w:ascii="Arial" w:hAnsi="Arial" w:cs="Arial"/>
          <w:color w:val="000000"/>
          <w:sz w:val="20"/>
          <w:szCs w:val="20"/>
        </w:rPr>
        <w:t>rendelet</w:t>
      </w:r>
      <w:r w:rsidRPr="00B771E2">
        <w:rPr>
          <w:rFonts w:ascii="Arial" w:hAnsi="Arial" w:cs="Arial"/>
          <w:color w:val="000000"/>
          <w:sz w:val="20"/>
          <w:szCs w:val="20"/>
        </w:rPr>
        <w:t xml:space="preserve"> V. melléklet 2. rész 31</w:t>
      </w:r>
      <w:r>
        <w:rPr>
          <w:rFonts w:ascii="Arial" w:hAnsi="Arial" w:cs="Arial"/>
          <w:color w:val="000000"/>
          <w:sz w:val="20"/>
          <w:szCs w:val="20"/>
        </w:rPr>
        <w:t>-</w:t>
      </w:r>
      <w:r w:rsidRPr="00B771E2">
        <w:rPr>
          <w:rFonts w:ascii="Arial" w:hAnsi="Arial" w:cs="Arial"/>
          <w:color w:val="000000"/>
          <w:sz w:val="20"/>
          <w:szCs w:val="20"/>
        </w:rPr>
        <w:t xml:space="preserve">56. pontja határozza meg. </w:t>
      </w:r>
    </w:p>
    <w:p w14:paraId="07D061E2" w14:textId="452BA194" w:rsidR="00233F1A" w:rsidRPr="004257AC" w:rsidRDefault="00233F1A" w:rsidP="00D040DE">
      <w:pPr>
        <w:autoSpaceDE w:val="0"/>
        <w:autoSpaceDN w:val="0"/>
        <w:adjustRightInd w:val="0"/>
        <w:spacing w:after="240"/>
        <w:jc w:val="both"/>
        <w:rPr>
          <w:rFonts w:ascii="Arial" w:hAnsi="Arial" w:cs="Arial"/>
          <w:b/>
          <w:sz w:val="20"/>
          <w:szCs w:val="20"/>
        </w:rPr>
      </w:pPr>
      <w:r w:rsidRPr="004257AC">
        <w:rPr>
          <w:rFonts w:ascii="Arial" w:hAnsi="Arial" w:cs="Arial"/>
          <w:b/>
          <w:bCs/>
          <w:sz w:val="20"/>
          <w:szCs w:val="20"/>
        </w:rPr>
        <w:t xml:space="preserve">A </w:t>
      </w:r>
      <w:r w:rsidR="00A5186E">
        <w:rPr>
          <w:rFonts w:ascii="Arial" w:hAnsi="Arial" w:cs="Arial"/>
          <w:b/>
          <w:bCs/>
          <w:sz w:val="20"/>
          <w:szCs w:val="20"/>
        </w:rPr>
        <w:t>tábla</w:t>
      </w:r>
      <w:r w:rsidR="0090139C" w:rsidRPr="004257AC">
        <w:rPr>
          <w:rFonts w:ascii="Arial" w:hAnsi="Arial" w:cs="Arial"/>
          <w:b/>
          <w:bCs/>
          <w:sz w:val="20"/>
          <w:szCs w:val="20"/>
        </w:rPr>
        <w:t xml:space="preserve"> </w:t>
      </w:r>
      <w:r w:rsidR="00C05F7A" w:rsidRPr="004257AC">
        <w:rPr>
          <w:rFonts w:ascii="Arial" w:hAnsi="Arial" w:cs="Arial"/>
          <w:b/>
          <w:bCs/>
          <w:sz w:val="20"/>
          <w:szCs w:val="20"/>
        </w:rPr>
        <w:t>sorai</w:t>
      </w:r>
    </w:p>
    <w:tbl>
      <w:tblPr>
        <w:tblW w:w="9464" w:type="dxa"/>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Layout w:type="fixed"/>
        <w:tblLook w:val="04A0" w:firstRow="1" w:lastRow="0" w:firstColumn="1" w:lastColumn="0" w:noHBand="0" w:noVBand="1"/>
      </w:tblPr>
      <w:tblGrid>
        <w:gridCol w:w="959"/>
        <w:gridCol w:w="1276"/>
        <w:gridCol w:w="2976"/>
        <w:gridCol w:w="4253"/>
      </w:tblGrid>
      <w:tr w:rsidR="0020195E" w:rsidRPr="00B771E2" w14:paraId="4AE9F197" w14:textId="77777777" w:rsidTr="00035688">
        <w:tc>
          <w:tcPr>
            <w:tcW w:w="959" w:type="dxa"/>
            <w:shd w:val="clear" w:color="auto" w:fill="auto"/>
            <w:tcMar>
              <w:top w:w="85" w:type="dxa"/>
            </w:tcMar>
            <w:vAlign w:val="center"/>
          </w:tcPr>
          <w:p w14:paraId="5EBF3F51" w14:textId="77777777" w:rsidR="0020195E" w:rsidRPr="00B771E2" w:rsidRDefault="0020195E" w:rsidP="00035688">
            <w:pPr>
              <w:contextualSpacing/>
              <w:rPr>
                <w:rFonts w:ascii="Arial" w:hAnsi="Arial" w:cs="Arial"/>
                <w:b/>
                <w:sz w:val="20"/>
                <w:szCs w:val="20"/>
              </w:rPr>
            </w:pPr>
            <w:r w:rsidRPr="00B771E2">
              <w:rPr>
                <w:rFonts w:ascii="Arial" w:hAnsi="Arial" w:cs="Arial"/>
                <w:b/>
                <w:sz w:val="20"/>
                <w:szCs w:val="20"/>
              </w:rPr>
              <w:t>Sorkód</w:t>
            </w:r>
          </w:p>
        </w:tc>
        <w:tc>
          <w:tcPr>
            <w:tcW w:w="1276" w:type="dxa"/>
            <w:vAlign w:val="center"/>
          </w:tcPr>
          <w:p w14:paraId="69ECE1FC" w14:textId="77777777" w:rsidR="0020195E" w:rsidRPr="003E72BE" w:rsidRDefault="0020195E" w:rsidP="00035688">
            <w:pPr>
              <w:contextualSpacing/>
              <w:rPr>
                <w:rFonts w:ascii="Arial" w:hAnsi="Arial" w:cs="Arial"/>
                <w:b/>
                <w:sz w:val="20"/>
                <w:szCs w:val="20"/>
              </w:rPr>
            </w:pPr>
            <w:r w:rsidRPr="003E72BE">
              <w:rPr>
                <w:rFonts w:ascii="Arial" w:hAnsi="Arial" w:cs="Arial"/>
                <w:b/>
                <w:sz w:val="20"/>
                <w:szCs w:val="20"/>
              </w:rPr>
              <w:t>Hierarchia</w:t>
            </w:r>
          </w:p>
        </w:tc>
        <w:tc>
          <w:tcPr>
            <w:tcW w:w="2976" w:type="dxa"/>
            <w:shd w:val="clear" w:color="auto" w:fill="auto"/>
            <w:tcMar>
              <w:top w:w="85" w:type="dxa"/>
            </w:tcMar>
            <w:vAlign w:val="center"/>
          </w:tcPr>
          <w:p w14:paraId="3FA67F67" w14:textId="77777777" w:rsidR="0020195E" w:rsidRPr="00B771E2" w:rsidRDefault="0020195E" w:rsidP="00035688">
            <w:pPr>
              <w:contextualSpacing/>
              <w:jc w:val="center"/>
              <w:rPr>
                <w:rFonts w:ascii="Arial" w:hAnsi="Arial" w:cs="Arial"/>
                <w:b/>
                <w:sz w:val="20"/>
                <w:szCs w:val="20"/>
              </w:rPr>
            </w:pPr>
            <w:r w:rsidRPr="00B771E2">
              <w:rPr>
                <w:rFonts w:ascii="Arial" w:hAnsi="Arial" w:cs="Arial"/>
                <w:b/>
                <w:sz w:val="20"/>
                <w:szCs w:val="20"/>
              </w:rPr>
              <w:t>Megnevezés</w:t>
            </w:r>
          </w:p>
        </w:tc>
        <w:tc>
          <w:tcPr>
            <w:tcW w:w="4253" w:type="dxa"/>
            <w:shd w:val="clear" w:color="auto" w:fill="auto"/>
            <w:tcMar>
              <w:top w:w="85" w:type="dxa"/>
            </w:tcMar>
            <w:vAlign w:val="center"/>
          </w:tcPr>
          <w:p w14:paraId="717259BF" w14:textId="77777777" w:rsidR="0020195E" w:rsidRPr="00B771E2" w:rsidRDefault="0020195E" w:rsidP="00035688">
            <w:pPr>
              <w:contextualSpacing/>
              <w:jc w:val="center"/>
              <w:rPr>
                <w:rFonts w:ascii="Arial" w:hAnsi="Arial" w:cs="Arial"/>
                <w:sz w:val="20"/>
                <w:szCs w:val="20"/>
              </w:rPr>
            </w:pPr>
            <w:r w:rsidRPr="00B771E2">
              <w:rPr>
                <w:rFonts w:ascii="Arial" w:hAnsi="Arial" w:cs="Arial"/>
                <w:b/>
                <w:sz w:val="20"/>
                <w:szCs w:val="20"/>
              </w:rPr>
              <w:t>Hivatkozások jogszabályokra és megjegyzések</w:t>
            </w:r>
          </w:p>
        </w:tc>
      </w:tr>
      <w:tr w:rsidR="0020195E" w:rsidRPr="00B771E2" w14:paraId="53DAABE8" w14:textId="77777777" w:rsidTr="00035688">
        <w:tc>
          <w:tcPr>
            <w:tcW w:w="959" w:type="dxa"/>
            <w:shd w:val="clear" w:color="auto" w:fill="auto"/>
            <w:tcMar>
              <w:top w:w="85" w:type="dxa"/>
            </w:tcMar>
            <w:vAlign w:val="center"/>
          </w:tcPr>
          <w:p w14:paraId="0BE61BC7" w14:textId="24BDBCBD" w:rsidR="0020195E" w:rsidRPr="00B771E2" w:rsidRDefault="0020195E" w:rsidP="00035688">
            <w:pPr>
              <w:contextualSpacing/>
              <w:rPr>
                <w:rFonts w:ascii="Arial" w:hAnsi="Arial" w:cs="Arial"/>
                <w:sz w:val="20"/>
                <w:szCs w:val="20"/>
              </w:rPr>
            </w:pPr>
            <w:r w:rsidRPr="00B771E2">
              <w:rPr>
                <w:rFonts w:ascii="Arial" w:hAnsi="Arial" w:cs="Arial"/>
                <w:sz w:val="20"/>
                <w:szCs w:val="20"/>
              </w:rPr>
              <w:t>354</w:t>
            </w:r>
          </w:p>
        </w:tc>
        <w:tc>
          <w:tcPr>
            <w:tcW w:w="1276" w:type="dxa"/>
            <w:vAlign w:val="center"/>
          </w:tcPr>
          <w:p w14:paraId="15C466AE" w14:textId="4EA2C010" w:rsidR="0020195E" w:rsidRPr="00B771E2" w:rsidRDefault="00233F1A" w:rsidP="00B771E2">
            <w:pPr>
              <w:contextualSpacing/>
              <w:jc w:val="center"/>
              <w:rPr>
                <w:rFonts w:ascii="Arial" w:hAnsi="Arial" w:cs="Arial"/>
                <w:sz w:val="20"/>
                <w:szCs w:val="20"/>
              </w:rPr>
            </w:pPr>
            <w:r w:rsidRPr="00B771E2">
              <w:rPr>
                <w:rFonts w:ascii="Arial" w:hAnsi="Arial" w:cs="Arial"/>
                <w:sz w:val="20"/>
                <w:szCs w:val="20"/>
              </w:rPr>
              <w:t>1</w:t>
            </w:r>
            <w:r w:rsidR="00A5186E">
              <w:rPr>
                <w:rFonts w:ascii="Arial" w:hAnsi="Arial" w:cs="Arial"/>
                <w:sz w:val="20"/>
                <w:szCs w:val="20"/>
              </w:rPr>
              <w:t>4</w:t>
            </w:r>
            <w:r w:rsidRPr="00B771E2">
              <w:rPr>
                <w:rFonts w:ascii="Arial" w:hAnsi="Arial" w:cs="Arial"/>
                <w:sz w:val="20"/>
                <w:szCs w:val="20"/>
              </w:rPr>
              <w:t>.</w:t>
            </w:r>
          </w:p>
        </w:tc>
        <w:tc>
          <w:tcPr>
            <w:tcW w:w="2976" w:type="dxa"/>
            <w:shd w:val="clear" w:color="auto" w:fill="auto"/>
            <w:tcMar>
              <w:top w:w="85" w:type="dxa"/>
            </w:tcMar>
            <w:vAlign w:val="center"/>
          </w:tcPr>
          <w:p w14:paraId="0C20CCC0" w14:textId="587FF464" w:rsidR="0020195E" w:rsidRPr="00D95E66" w:rsidRDefault="0020195E" w:rsidP="004F5330">
            <w:pPr>
              <w:pStyle w:val="Default"/>
              <w:spacing w:before="143" w:after="143"/>
              <w:jc w:val="both"/>
              <w:rPr>
                <w:rFonts w:ascii="Arial" w:hAnsi="Arial" w:cs="Arial"/>
                <w:sz w:val="20"/>
                <w:szCs w:val="20"/>
              </w:rPr>
            </w:pPr>
            <w:r w:rsidRPr="00D95E66">
              <w:rPr>
                <w:rFonts w:ascii="Arial" w:hAnsi="Arial" w:cs="Arial"/>
                <w:sz w:val="20"/>
                <w:szCs w:val="20"/>
              </w:rPr>
              <w:t xml:space="preserve">Az összes nettó működési bevételhez hozzájáruló </w:t>
            </w:r>
            <w:r w:rsidR="000A2582" w:rsidRPr="00D95E66">
              <w:rPr>
                <w:rFonts w:ascii="Arial" w:hAnsi="Arial" w:cs="Arial"/>
                <w:sz w:val="20"/>
                <w:szCs w:val="20"/>
              </w:rPr>
              <w:t>egyéb</w:t>
            </w:r>
            <w:r w:rsidRPr="00D95E66">
              <w:rPr>
                <w:rFonts w:ascii="Arial" w:hAnsi="Arial" w:cs="Arial"/>
                <w:sz w:val="20"/>
                <w:szCs w:val="20"/>
              </w:rPr>
              <w:t xml:space="preserve"> tételek (+/-), nettó</w:t>
            </w:r>
          </w:p>
          <w:p w14:paraId="2AA3DC55" w14:textId="7FE221BF" w:rsidR="0020195E" w:rsidRPr="00B771E2" w:rsidRDefault="0020195E" w:rsidP="00035688">
            <w:pPr>
              <w:contextualSpacing/>
              <w:rPr>
                <w:rFonts w:ascii="Arial" w:hAnsi="Arial" w:cs="Arial"/>
                <w:sz w:val="20"/>
                <w:szCs w:val="20"/>
              </w:rPr>
            </w:pPr>
          </w:p>
        </w:tc>
        <w:tc>
          <w:tcPr>
            <w:tcW w:w="4253" w:type="dxa"/>
            <w:shd w:val="clear" w:color="auto" w:fill="auto"/>
            <w:tcMar>
              <w:top w:w="85" w:type="dxa"/>
            </w:tcMar>
            <w:vAlign w:val="center"/>
          </w:tcPr>
          <w:p w14:paraId="2E1D4147" w14:textId="42C950C6" w:rsidR="0020195E" w:rsidRPr="00B771E2" w:rsidRDefault="00A5186E" w:rsidP="004F5330">
            <w:pPr>
              <w:pStyle w:val="Default"/>
              <w:spacing w:before="143" w:after="143"/>
              <w:jc w:val="both"/>
              <w:rPr>
                <w:rFonts w:ascii="Arial" w:hAnsi="Arial" w:cs="Arial"/>
                <w:sz w:val="20"/>
                <w:szCs w:val="20"/>
              </w:rPr>
            </w:pPr>
            <w:r>
              <w:rPr>
                <w:rFonts w:ascii="Arial" w:hAnsi="Arial" w:cs="Arial"/>
                <w:sz w:val="20"/>
                <w:szCs w:val="20"/>
              </w:rPr>
              <w:t>A</w:t>
            </w:r>
            <w:r w:rsidR="0020195E" w:rsidRPr="00B771E2">
              <w:rPr>
                <w:rFonts w:ascii="Arial" w:hAnsi="Arial" w:cs="Arial"/>
                <w:sz w:val="20"/>
                <w:szCs w:val="20"/>
              </w:rPr>
              <w:t xml:space="preserve">z összes nettó működési bevételben szereplő bármely </w:t>
            </w:r>
            <w:r w:rsidR="00C05F7A" w:rsidRPr="00B771E2">
              <w:rPr>
                <w:rFonts w:ascii="Arial" w:hAnsi="Arial" w:cs="Arial"/>
                <w:sz w:val="20"/>
                <w:szCs w:val="20"/>
              </w:rPr>
              <w:t>egyéb</w:t>
            </w:r>
            <w:r w:rsidR="00084D55">
              <w:rPr>
                <w:rFonts w:ascii="Arial" w:hAnsi="Arial" w:cs="Arial"/>
                <w:sz w:val="20"/>
                <w:szCs w:val="20"/>
              </w:rPr>
              <w:t>,</w:t>
            </w:r>
            <w:r w:rsidR="002115F2">
              <w:rPr>
                <w:rFonts w:ascii="Arial" w:hAnsi="Arial" w:cs="Arial"/>
                <w:sz w:val="20"/>
                <w:szCs w:val="20"/>
              </w:rPr>
              <w:t xml:space="preserve"> </w:t>
            </w:r>
            <w:r>
              <w:rPr>
                <w:rFonts w:ascii="Arial" w:hAnsi="Arial" w:cs="Arial"/>
                <w:sz w:val="20"/>
                <w:szCs w:val="20"/>
              </w:rPr>
              <w:t>a</w:t>
            </w:r>
            <w:r w:rsidR="0020195E" w:rsidRPr="00B771E2">
              <w:rPr>
                <w:rFonts w:ascii="Arial" w:hAnsi="Arial" w:cs="Arial"/>
                <w:sz w:val="20"/>
                <w:szCs w:val="20"/>
              </w:rPr>
              <w:t xml:space="preserve"> 010–350 sorban nem jelentett</w:t>
            </w:r>
            <w:r w:rsidR="00084D55">
              <w:rPr>
                <w:rFonts w:ascii="Arial" w:hAnsi="Arial" w:cs="Arial"/>
                <w:sz w:val="20"/>
                <w:szCs w:val="20"/>
              </w:rPr>
              <w:t xml:space="preserve"> </w:t>
            </w:r>
            <w:r>
              <w:rPr>
                <w:rFonts w:ascii="Arial" w:hAnsi="Arial" w:cs="Arial"/>
                <w:sz w:val="20"/>
                <w:szCs w:val="20"/>
              </w:rPr>
              <w:t>tétel</w:t>
            </w:r>
            <w:r w:rsidR="0020195E" w:rsidRPr="00B771E2">
              <w:rPr>
                <w:rFonts w:ascii="Arial" w:hAnsi="Arial" w:cs="Arial"/>
                <w:sz w:val="20"/>
                <w:szCs w:val="20"/>
              </w:rPr>
              <w:t xml:space="preserve">ek. </w:t>
            </w:r>
          </w:p>
          <w:p w14:paraId="6B48686A" w14:textId="713A722C" w:rsidR="0020195E" w:rsidRPr="00B771E2" w:rsidRDefault="0020195E" w:rsidP="004F5330">
            <w:pPr>
              <w:contextualSpacing/>
              <w:jc w:val="both"/>
              <w:rPr>
                <w:rFonts w:ascii="Arial" w:hAnsi="Arial" w:cs="Arial"/>
                <w:sz w:val="20"/>
                <w:szCs w:val="20"/>
              </w:rPr>
            </w:pPr>
          </w:p>
        </w:tc>
      </w:tr>
      <w:tr w:rsidR="0020195E" w:rsidRPr="00B771E2" w14:paraId="5EE58D3D" w14:textId="77777777" w:rsidTr="00035688">
        <w:tc>
          <w:tcPr>
            <w:tcW w:w="959" w:type="dxa"/>
            <w:shd w:val="clear" w:color="auto" w:fill="auto"/>
            <w:tcMar>
              <w:top w:w="85" w:type="dxa"/>
            </w:tcMar>
            <w:vAlign w:val="center"/>
          </w:tcPr>
          <w:p w14:paraId="0701D7CC" w14:textId="3974EFC7" w:rsidR="0020195E" w:rsidRPr="00B771E2" w:rsidRDefault="0020195E" w:rsidP="00035688">
            <w:pPr>
              <w:contextualSpacing/>
              <w:rPr>
                <w:rFonts w:ascii="Arial" w:hAnsi="Arial" w:cs="Arial"/>
                <w:sz w:val="20"/>
                <w:szCs w:val="20"/>
              </w:rPr>
            </w:pPr>
            <w:r w:rsidRPr="00B771E2">
              <w:rPr>
                <w:rFonts w:ascii="Arial" w:hAnsi="Arial" w:cs="Arial"/>
                <w:sz w:val="20"/>
                <w:szCs w:val="20"/>
              </w:rPr>
              <w:t>609</w:t>
            </w:r>
          </w:p>
        </w:tc>
        <w:tc>
          <w:tcPr>
            <w:tcW w:w="1276" w:type="dxa"/>
            <w:vAlign w:val="center"/>
          </w:tcPr>
          <w:p w14:paraId="6CC071E4" w14:textId="2BC080D1" w:rsidR="0020195E" w:rsidRPr="00B771E2" w:rsidRDefault="00233F1A" w:rsidP="00B771E2">
            <w:pPr>
              <w:contextualSpacing/>
              <w:jc w:val="center"/>
              <w:rPr>
                <w:rFonts w:ascii="Arial" w:hAnsi="Arial" w:cs="Arial"/>
                <w:sz w:val="20"/>
                <w:szCs w:val="20"/>
              </w:rPr>
            </w:pPr>
            <w:r w:rsidRPr="00B771E2">
              <w:rPr>
                <w:rFonts w:ascii="Arial" w:hAnsi="Arial" w:cs="Arial"/>
                <w:sz w:val="20"/>
                <w:szCs w:val="20"/>
              </w:rPr>
              <w:t>24.</w:t>
            </w:r>
          </w:p>
        </w:tc>
        <w:tc>
          <w:tcPr>
            <w:tcW w:w="2976" w:type="dxa"/>
            <w:shd w:val="clear" w:color="auto" w:fill="auto"/>
            <w:tcMar>
              <w:top w:w="85" w:type="dxa"/>
            </w:tcMar>
            <w:vAlign w:val="center"/>
          </w:tcPr>
          <w:p w14:paraId="5A098874" w14:textId="1C385753" w:rsidR="0020195E" w:rsidRPr="00D95E66" w:rsidRDefault="0020195E" w:rsidP="004F5330">
            <w:pPr>
              <w:pStyle w:val="Default"/>
              <w:spacing w:before="143" w:after="143"/>
              <w:jc w:val="both"/>
              <w:rPr>
                <w:rFonts w:ascii="Arial" w:hAnsi="Arial" w:cs="Arial"/>
                <w:sz w:val="20"/>
                <w:szCs w:val="20"/>
              </w:rPr>
            </w:pPr>
            <w:r w:rsidRPr="00D95E66">
              <w:rPr>
                <w:rFonts w:ascii="Arial" w:hAnsi="Arial" w:cs="Arial"/>
                <w:sz w:val="20"/>
                <w:szCs w:val="20"/>
              </w:rPr>
              <w:t xml:space="preserve">Folytatódó tevékenységek adófizetés előtti nyereségéhez vagy (-) veszteségéhez hozzájáruló </w:t>
            </w:r>
            <w:r w:rsidR="000A2582" w:rsidRPr="00D95E66">
              <w:rPr>
                <w:rFonts w:ascii="Arial" w:hAnsi="Arial" w:cs="Arial"/>
                <w:sz w:val="20"/>
                <w:szCs w:val="20"/>
              </w:rPr>
              <w:t>egyéb</w:t>
            </w:r>
            <w:r w:rsidRPr="00D95E66">
              <w:rPr>
                <w:rFonts w:ascii="Arial" w:hAnsi="Arial" w:cs="Arial"/>
                <w:sz w:val="20"/>
                <w:szCs w:val="20"/>
              </w:rPr>
              <w:t xml:space="preserve"> tételek (+/-) </w:t>
            </w:r>
          </w:p>
          <w:p w14:paraId="2DDE2E4B" w14:textId="122B2CE8" w:rsidR="0020195E" w:rsidRPr="00B771E2" w:rsidRDefault="0020195E" w:rsidP="00035688">
            <w:pPr>
              <w:contextualSpacing/>
              <w:rPr>
                <w:rFonts w:ascii="Arial" w:hAnsi="Arial" w:cs="Arial"/>
                <w:sz w:val="20"/>
                <w:szCs w:val="20"/>
              </w:rPr>
            </w:pPr>
          </w:p>
        </w:tc>
        <w:tc>
          <w:tcPr>
            <w:tcW w:w="4253" w:type="dxa"/>
            <w:shd w:val="clear" w:color="auto" w:fill="auto"/>
            <w:tcMar>
              <w:top w:w="85" w:type="dxa"/>
            </w:tcMar>
            <w:vAlign w:val="center"/>
          </w:tcPr>
          <w:p w14:paraId="6F68AC1B" w14:textId="49ACCF37" w:rsidR="0020195E" w:rsidRPr="00B771E2" w:rsidRDefault="00A5186E" w:rsidP="004F5330">
            <w:pPr>
              <w:pStyle w:val="Default"/>
              <w:spacing w:before="143" w:after="143"/>
              <w:jc w:val="both"/>
              <w:rPr>
                <w:rFonts w:ascii="Arial" w:hAnsi="Arial" w:cs="Arial"/>
                <w:sz w:val="20"/>
                <w:szCs w:val="20"/>
              </w:rPr>
            </w:pPr>
            <w:r>
              <w:rPr>
                <w:rFonts w:ascii="Arial" w:hAnsi="Arial" w:cs="Arial"/>
                <w:sz w:val="20"/>
                <w:szCs w:val="20"/>
              </w:rPr>
              <w:t>A</w:t>
            </w:r>
            <w:r w:rsidR="0020195E" w:rsidRPr="00B771E2">
              <w:rPr>
                <w:rFonts w:ascii="Arial" w:hAnsi="Arial" w:cs="Arial"/>
                <w:sz w:val="20"/>
                <w:szCs w:val="20"/>
              </w:rPr>
              <w:t xml:space="preserve"> folytatódó tevékenységek adófizetés előtti nyereségéhez vagy (</w:t>
            </w:r>
            <w:r w:rsidR="003106C9">
              <w:rPr>
                <w:rFonts w:ascii="Arial" w:hAnsi="Arial" w:cs="Arial"/>
                <w:sz w:val="20"/>
                <w:szCs w:val="20"/>
              </w:rPr>
              <w:t>-</w:t>
            </w:r>
            <w:r w:rsidR="0020195E" w:rsidRPr="00B771E2">
              <w:rPr>
                <w:rFonts w:ascii="Arial" w:hAnsi="Arial" w:cs="Arial"/>
                <w:sz w:val="20"/>
                <w:szCs w:val="20"/>
              </w:rPr>
              <w:t>) veszteségéhez hozzájáruló</w:t>
            </w:r>
            <w:r w:rsidR="00F02D78">
              <w:rPr>
                <w:rFonts w:ascii="Arial" w:hAnsi="Arial" w:cs="Arial"/>
                <w:sz w:val="20"/>
                <w:szCs w:val="20"/>
              </w:rPr>
              <w:t xml:space="preserve">, </w:t>
            </w:r>
            <w:r>
              <w:rPr>
                <w:rFonts w:ascii="Arial" w:hAnsi="Arial" w:cs="Arial"/>
                <w:sz w:val="20"/>
                <w:szCs w:val="20"/>
              </w:rPr>
              <w:t>a</w:t>
            </w:r>
            <w:r w:rsidR="0020195E" w:rsidRPr="00B771E2">
              <w:rPr>
                <w:rFonts w:ascii="Arial" w:hAnsi="Arial" w:cs="Arial"/>
                <w:sz w:val="20"/>
                <w:szCs w:val="20"/>
              </w:rPr>
              <w:t xml:space="preserve"> 355–590 sorban nem jelentett</w:t>
            </w:r>
            <w:r w:rsidR="00F02D78">
              <w:rPr>
                <w:rFonts w:ascii="Arial" w:hAnsi="Arial" w:cs="Arial"/>
                <w:sz w:val="20"/>
                <w:szCs w:val="20"/>
              </w:rPr>
              <w:t xml:space="preserve"> </w:t>
            </w:r>
            <w:r>
              <w:rPr>
                <w:rFonts w:ascii="Arial" w:hAnsi="Arial" w:cs="Arial"/>
                <w:sz w:val="20"/>
                <w:szCs w:val="20"/>
              </w:rPr>
              <w:t>tétel</w:t>
            </w:r>
            <w:r w:rsidR="0020195E" w:rsidRPr="00B771E2">
              <w:rPr>
                <w:rFonts w:ascii="Arial" w:hAnsi="Arial" w:cs="Arial"/>
                <w:sz w:val="20"/>
                <w:szCs w:val="20"/>
              </w:rPr>
              <w:t xml:space="preserve">ek. </w:t>
            </w:r>
          </w:p>
          <w:p w14:paraId="3FA2AD77" w14:textId="1803F06E" w:rsidR="0020195E" w:rsidRPr="00B771E2" w:rsidRDefault="0020195E" w:rsidP="004F5330">
            <w:pPr>
              <w:contextualSpacing/>
              <w:jc w:val="both"/>
              <w:rPr>
                <w:rFonts w:ascii="Arial" w:hAnsi="Arial" w:cs="Arial"/>
                <w:sz w:val="20"/>
                <w:szCs w:val="20"/>
              </w:rPr>
            </w:pPr>
          </w:p>
        </w:tc>
      </w:tr>
    </w:tbl>
    <w:p w14:paraId="07E580DF" w14:textId="3C687E45" w:rsidR="00DC4481" w:rsidRPr="00B771E2" w:rsidRDefault="00DC4481" w:rsidP="00B771E2">
      <w:pPr>
        <w:autoSpaceDE w:val="0"/>
        <w:autoSpaceDN w:val="0"/>
        <w:adjustRightInd w:val="0"/>
        <w:spacing w:after="240"/>
        <w:jc w:val="both"/>
        <w:rPr>
          <w:rFonts w:ascii="Arial" w:hAnsi="Arial" w:cs="Arial"/>
          <w:color w:val="000000"/>
          <w:sz w:val="20"/>
          <w:szCs w:val="20"/>
        </w:rPr>
      </w:pPr>
    </w:p>
    <w:p w14:paraId="0945E24F" w14:textId="631F6DBF" w:rsidR="00DC4481" w:rsidRPr="00B771E2" w:rsidRDefault="00DC4481" w:rsidP="00DC4481">
      <w:pPr>
        <w:autoSpaceDE w:val="0"/>
        <w:autoSpaceDN w:val="0"/>
        <w:adjustRightInd w:val="0"/>
        <w:rPr>
          <w:rFonts w:ascii="Arial" w:hAnsi="Arial" w:cs="Arial"/>
          <w:b/>
          <w:sz w:val="20"/>
          <w:szCs w:val="20"/>
        </w:rPr>
      </w:pPr>
      <w:r w:rsidRPr="00B771E2">
        <w:rPr>
          <w:rFonts w:ascii="Arial" w:hAnsi="Arial" w:cs="Arial"/>
          <w:b/>
          <w:sz w:val="20"/>
          <w:szCs w:val="20"/>
        </w:rPr>
        <w:t>12. P_04.0</w:t>
      </w:r>
      <w:r w:rsidR="00E00A92" w:rsidRPr="00B771E2">
        <w:rPr>
          <w:rFonts w:ascii="Arial" w:hAnsi="Arial" w:cs="Arial"/>
          <w:b/>
          <w:sz w:val="20"/>
          <w:szCs w:val="20"/>
        </w:rPr>
        <w:t>2</w:t>
      </w:r>
      <w:r w:rsidRPr="00B771E2">
        <w:rPr>
          <w:rFonts w:ascii="Arial" w:hAnsi="Arial" w:cs="Arial"/>
          <w:b/>
          <w:sz w:val="20"/>
          <w:szCs w:val="20"/>
        </w:rPr>
        <w:t xml:space="preserve"> Finanszírozási terv –Eredménykimutatás kis </w:t>
      </w:r>
      <w:r w:rsidR="000F7F9E">
        <w:rPr>
          <w:rFonts w:ascii="Arial" w:hAnsi="Arial" w:cs="Arial"/>
          <w:b/>
          <w:sz w:val="20"/>
          <w:szCs w:val="20"/>
        </w:rPr>
        <w:t xml:space="preserve">méretű és nem összetett </w:t>
      </w:r>
      <w:r w:rsidRPr="00B771E2">
        <w:rPr>
          <w:rFonts w:ascii="Arial" w:hAnsi="Arial" w:cs="Arial"/>
          <w:b/>
          <w:sz w:val="20"/>
          <w:szCs w:val="20"/>
        </w:rPr>
        <w:t>hitelintézetek számára</w:t>
      </w:r>
    </w:p>
    <w:p w14:paraId="147CF88F" w14:textId="195839A7" w:rsidR="00D040DE" w:rsidRPr="00B771E2" w:rsidRDefault="00D040DE" w:rsidP="00DC4481">
      <w:pPr>
        <w:autoSpaceDE w:val="0"/>
        <w:autoSpaceDN w:val="0"/>
        <w:adjustRightInd w:val="0"/>
        <w:rPr>
          <w:rFonts w:ascii="Arial" w:hAnsi="Arial" w:cs="Arial"/>
          <w:b/>
          <w:sz w:val="20"/>
          <w:szCs w:val="20"/>
        </w:rPr>
      </w:pPr>
    </w:p>
    <w:p w14:paraId="4295D40B" w14:textId="77777777" w:rsidR="00A5186E" w:rsidRPr="00B771E2" w:rsidRDefault="00A5186E" w:rsidP="00A5186E">
      <w:pPr>
        <w:autoSpaceDE w:val="0"/>
        <w:autoSpaceDN w:val="0"/>
        <w:adjustRightInd w:val="0"/>
        <w:spacing w:after="240"/>
        <w:jc w:val="both"/>
        <w:rPr>
          <w:rFonts w:ascii="Arial" w:hAnsi="Arial" w:cs="Arial"/>
          <w:color w:val="000000"/>
          <w:sz w:val="20"/>
          <w:szCs w:val="20"/>
        </w:rPr>
      </w:pPr>
      <w:r w:rsidRPr="00B771E2">
        <w:rPr>
          <w:rFonts w:ascii="Arial" w:hAnsi="Arial" w:cs="Arial"/>
          <w:color w:val="000000"/>
          <w:sz w:val="20"/>
          <w:szCs w:val="20"/>
        </w:rPr>
        <w:t>A P</w:t>
      </w:r>
      <w:r>
        <w:rPr>
          <w:rFonts w:ascii="Arial" w:hAnsi="Arial" w:cs="Arial"/>
          <w:color w:val="000000"/>
          <w:sz w:val="20"/>
          <w:szCs w:val="20"/>
        </w:rPr>
        <w:t>_</w:t>
      </w:r>
      <w:r w:rsidRPr="00B771E2">
        <w:rPr>
          <w:rFonts w:ascii="Arial" w:hAnsi="Arial" w:cs="Arial"/>
          <w:color w:val="000000"/>
          <w:sz w:val="20"/>
          <w:szCs w:val="20"/>
        </w:rPr>
        <w:t>04.02 táblát a CRR 4. cikk</w:t>
      </w:r>
      <w:r>
        <w:rPr>
          <w:rFonts w:ascii="Arial" w:hAnsi="Arial" w:cs="Arial"/>
          <w:color w:val="000000"/>
          <w:sz w:val="20"/>
          <w:szCs w:val="20"/>
        </w:rPr>
        <w:t xml:space="preserve"> (1) bekezdés</w:t>
      </w:r>
      <w:r w:rsidRPr="00B771E2">
        <w:rPr>
          <w:rFonts w:ascii="Arial" w:hAnsi="Arial" w:cs="Arial"/>
          <w:color w:val="000000"/>
          <w:sz w:val="20"/>
          <w:szCs w:val="20"/>
        </w:rPr>
        <w:t xml:space="preserve"> 145</w:t>
      </w:r>
      <w:r>
        <w:rPr>
          <w:rFonts w:ascii="Arial" w:hAnsi="Arial" w:cs="Arial"/>
          <w:color w:val="000000"/>
          <w:sz w:val="20"/>
          <w:szCs w:val="20"/>
        </w:rPr>
        <w:t>. pontja</w:t>
      </w:r>
      <w:r w:rsidRPr="00B771E2">
        <w:rPr>
          <w:rFonts w:ascii="Arial" w:hAnsi="Arial" w:cs="Arial"/>
          <w:color w:val="000000"/>
          <w:sz w:val="20"/>
          <w:szCs w:val="20"/>
        </w:rPr>
        <w:t xml:space="preserve"> szerinti </w:t>
      </w:r>
      <w:r w:rsidRPr="00412380">
        <w:rPr>
          <w:rFonts w:ascii="Arial" w:hAnsi="Arial" w:cs="Arial"/>
          <w:color w:val="000000"/>
          <w:sz w:val="20"/>
          <w:szCs w:val="20"/>
        </w:rPr>
        <w:t>kis méretű és nem összetett</w:t>
      </w:r>
      <w:r w:rsidRPr="00B771E2">
        <w:rPr>
          <w:rFonts w:ascii="Arial" w:hAnsi="Arial" w:cs="Arial"/>
          <w:color w:val="000000"/>
          <w:sz w:val="20"/>
          <w:szCs w:val="20"/>
        </w:rPr>
        <w:t xml:space="preserve"> intézmény</w:t>
      </w:r>
      <w:r>
        <w:rPr>
          <w:rFonts w:ascii="Arial" w:hAnsi="Arial" w:cs="Arial"/>
          <w:color w:val="000000"/>
          <w:sz w:val="20"/>
          <w:szCs w:val="20"/>
        </w:rPr>
        <w:t>n</w:t>
      </w:r>
      <w:r w:rsidRPr="00B771E2">
        <w:rPr>
          <w:rFonts w:ascii="Arial" w:hAnsi="Arial" w:cs="Arial"/>
          <w:color w:val="000000"/>
          <w:sz w:val="20"/>
          <w:szCs w:val="20"/>
        </w:rPr>
        <w:t xml:space="preserve">ek </w:t>
      </w:r>
      <w:r>
        <w:rPr>
          <w:rFonts w:ascii="Arial" w:hAnsi="Arial" w:cs="Arial"/>
          <w:color w:val="000000"/>
          <w:sz w:val="20"/>
          <w:szCs w:val="20"/>
        </w:rPr>
        <w:t>minősülő hitelintézetnek kell kitöltenie</w:t>
      </w:r>
      <w:r w:rsidRPr="00B771E2">
        <w:rPr>
          <w:rFonts w:ascii="Arial" w:hAnsi="Arial" w:cs="Arial"/>
          <w:color w:val="000000"/>
          <w:sz w:val="20"/>
          <w:szCs w:val="20"/>
        </w:rPr>
        <w:t xml:space="preserve">. </w:t>
      </w:r>
    </w:p>
    <w:p w14:paraId="08F48470" w14:textId="7DAB5810" w:rsidR="00A5186E" w:rsidRPr="00B771E2" w:rsidRDefault="00A5186E" w:rsidP="00A5186E">
      <w:pPr>
        <w:autoSpaceDE w:val="0"/>
        <w:autoSpaceDN w:val="0"/>
        <w:adjustRightInd w:val="0"/>
        <w:spacing w:after="240"/>
        <w:jc w:val="both"/>
        <w:rPr>
          <w:rFonts w:ascii="Arial" w:hAnsi="Arial" w:cs="Arial"/>
          <w:color w:val="000000"/>
          <w:sz w:val="20"/>
          <w:szCs w:val="20"/>
        </w:rPr>
      </w:pPr>
      <w:r>
        <w:rPr>
          <w:rFonts w:ascii="Arial" w:hAnsi="Arial" w:cs="Arial"/>
          <w:color w:val="000000"/>
          <w:sz w:val="20"/>
          <w:szCs w:val="20"/>
        </w:rPr>
        <w:t>A</w:t>
      </w:r>
      <w:r w:rsidRPr="00B771E2">
        <w:rPr>
          <w:rFonts w:ascii="Arial" w:hAnsi="Arial" w:cs="Arial"/>
          <w:color w:val="000000"/>
          <w:sz w:val="20"/>
          <w:szCs w:val="20"/>
        </w:rPr>
        <w:t xml:space="preserve"> tábl</w:t>
      </w:r>
      <w:r>
        <w:rPr>
          <w:rFonts w:ascii="Arial" w:hAnsi="Arial" w:cs="Arial"/>
          <w:color w:val="000000"/>
          <w:sz w:val="20"/>
          <w:szCs w:val="20"/>
        </w:rPr>
        <w:t>áb</w:t>
      </w:r>
      <w:r w:rsidRPr="00B771E2">
        <w:rPr>
          <w:rFonts w:ascii="Arial" w:hAnsi="Arial" w:cs="Arial"/>
          <w:color w:val="000000"/>
          <w:sz w:val="20"/>
          <w:szCs w:val="20"/>
        </w:rPr>
        <w:t>a</w:t>
      </w:r>
      <w:r>
        <w:rPr>
          <w:rFonts w:ascii="Arial" w:hAnsi="Arial" w:cs="Arial"/>
          <w:color w:val="000000"/>
          <w:sz w:val="20"/>
          <w:szCs w:val="20"/>
        </w:rPr>
        <w:t>n</w:t>
      </w:r>
      <w:r w:rsidRPr="00B771E2">
        <w:rPr>
          <w:rFonts w:ascii="Arial" w:hAnsi="Arial" w:cs="Arial"/>
          <w:color w:val="000000"/>
          <w:sz w:val="20"/>
          <w:szCs w:val="20"/>
        </w:rPr>
        <w:t xml:space="preserve"> a</w:t>
      </w:r>
      <w:r w:rsidR="004E79A7">
        <w:rPr>
          <w:rFonts w:ascii="Arial" w:hAnsi="Arial" w:cs="Arial"/>
          <w:color w:val="000000"/>
          <w:sz w:val="20"/>
          <w:szCs w:val="20"/>
        </w:rPr>
        <w:t>z</w:t>
      </w:r>
      <w:r w:rsidRPr="00B771E2">
        <w:rPr>
          <w:rFonts w:ascii="Arial" w:hAnsi="Arial" w:cs="Arial"/>
          <w:color w:val="000000"/>
          <w:sz w:val="20"/>
          <w:szCs w:val="20"/>
        </w:rPr>
        <w:t xml:space="preserve"> </w:t>
      </w:r>
      <w:r w:rsidR="004E79A7">
        <w:rPr>
          <w:rFonts w:ascii="Arial" w:hAnsi="Arial" w:cs="Arial"/>
          <w:sz w:val="20"/>
          <w:szCs w:val="20"/>
        </w:rPr>
        <w:t>(EU) 2021/451</w:t>
      </w:r>
      <w:r w:rsidRPr="00B771E2">
        <w:rPr>
          <w:rFonts w:ascii="Arial" w:hAnsi="Arial" w:cs="Arial"/>
          <w:color w:val="000000"/>
          <w:sz w:val="20"/>
          <w:szCs w:val="20"/>
        </w:rPr>
        <w:t xml:space="preserve"> </w:t>
      </w:r>
      <w:r>
        <w:rPr>
          <w:rFonts w:ascii="Arial" w:hAnsi="Arial" w:cs="Arial"/>
          <w:color w:val="000000"/>
          <w:sz w:val="20"/>
          <w:szCs w:val="20"/>
        </w:rPr>
        <w:t xml:space="preserve">bizottsági végrehajtási </w:t>
      </w:r>
      <w:r w:rsidRPr="00B771E2">
        <w:rPr>
          <w:rFonts w:ascii="Arial" w:hAnsi="Arial" w:cs="Arial"/>
          <w:color w:val="000000"/>
          <w:sz w:val="20"/>
          <w:szCs w:val="20"/>
        </w:rPr>
        <w:t>rendelet III. mellékletében szereplő F</w:t>
      </w:r>
      <w:r>
        <w:rPr>
          <w:rFonts w:ascii="Arial" w:hAnsi="Arial" w:cs="Arial"/>
          <w:color w:val="000000"/>
          <w:sz w:val="20"/>
          <w:szCs w:val="20"/>
        </w:rPr>
        <w:t xml:space="preserve"> </w:t>
      </w:r>
      <w:r w:rsidRPr="00B771E2">
        <w:rPr>
          <w:rFonts w:ascii="Arial" w:hAnsi="Arial" w:cs="Arial"/>
          <w:color w:val="000000"/>
          <w:sz w:val="20"/>
          <w:szCs w:val="20"/>
        </w:rPr>
        <w:t xml:space="preserve">02.00 Eredménykimutatás táblából származó kiválasztott információkat </w:t>
      </w:r>
      <w:r>
        <w:rPr>
          <w:rFonts w:ascii="Arial" w:hAnsi="Arial" w:cs="Arial"/>
          <w:color w:val="000000"/>
          <w:sz w:val="20"/>
          <w:szCs w:val="20"/>
        </w:rPr>
        <w:t>kell jelenteni</w:t>
      </w:r>
      <w:r w:rsidRPr="00B771E2">
        <w:rPr>
          <w:rFonts w:ascii="Arial" w:hAnsi="Arial" w:cs="Arial"/>
          <w:color w:val="000000"/>
          <w:sz w:val="20"/>
          <w:szCs w:val="20"/>
        </w:rPr>
        <w:t xml:space="preserve">, a kitöltésre vonatkozó </w:t>
      </w:r>
      <w:r>
        <w:rPr>
          <w:rFonts w:ascii="Arial" w:hAnsi="Arial" w:cs="Arial"/>
          <w:color w:val="000000"/>
          <w:sz w:val="20"/>
          <w:szCs w:val="20"/>
        </w:rPr>
        <w:t>előírásokat</w:t>
      </w:r>
      <w:r w:rsidRPr="00B771E2">
        <w:rPr>
          <w:rFonts w:ascii="Arial" w:hAnsi="Arial" w:cs="Arial"/>
          <w:color w:val="000000"/>
          <w:sz w:val="20"/>
          <w:szCs w:val="20"/>
        </w:rPr>
        <w:t xml:space="preserve"> a</w:t>
      </w:r>
      <w:r w:rsidR="004E79A7">
        <w:rPr>
          <w:rFonts w:ascii="Arial" w:hAnsi="Arial" w:cs="Arial"/>
          <w:color w:val="000000"/>
          <w:sz w:val="20"/>
          <w:szCs w:val="20"/>
        </w:rPr>
        <w:t>z</w:t>
      </w:r>
      <w:r>
        <w:rPr>
          <w:rFonts w:ascii="Arial" w:hAnsi="Arial" w:cs="Arial"/>
          <w:color w:val="000000"/>
          <w:sz w:val="20"/>
          <w:szCs w:val="20"/>
        </w:rPr>
        <w:t xml:space="preserve"> </w:t>
      </w:r>
      <w:r w:rsidR="004E79A7">
        <w:rPr>
          <w:rFonts w:ascii="Arial" w:hAnsi="Arial" w:cs="Arial"/>
          <w:sz w:val="20"/>
          <w:szCs w:val="20"/>
        </w:rPr>
        <w:t>(EU) 2021/451</w:t>
      </w:r>
      <w:r w:rsidR="004E79A7" w:rsidRPr="00ED3820">
        <w:rPr>
          <w:rFonts w:ascii="Arial" w:hAnsi="Arial" w:cs="Arial"/>
          <w:sz w:val="20"/>
          <w:szCs w:val="20"/>
        </w:rPr>
        <w:t xml:space="preserve"> </w:t>
      </w:r>
      <w:r w:rsidR="005737DB">
        <w:rPr>
          <w:rFonts w:ascii="Arial" w:hAnsi="Arial" w:cs="Arial"/>
          <w:color w:val="000000"/>
          <w:sz w:val="20"/>
          <w:szCs w:val="20"/>
        </w:rPr>
        <w:t xml:space="preserve">bizottsági végrehajtási </w:t>
      </w:r>
      <w:r w:rsidR="005737DB" w:rsidRPr="00B771E2">
        <w:rPr>
          <w:rFonts w:ascii="Arial" w:hAnsi="Arial" w:cs="Arial"/>
          <w:color w:val="000000"/>
          <w:sz w:val="20"/>
          <w:szCs w:val="20"/>
        </w:rPr>
        <w:t xml:space="preserve">rendelet </w:t>
      </w:r>
      <w:r w:rsidRPr="00B771E2">
        <w:rPr>
          <w:rFonts w:ascii="Arial" w:hAnsi="Arial" w:cs="Arial"/>
          <w:color w:val="000000"/>
          <w:sz w:val="20"/>
          <w:szCs w:val="20"/>
        </w:rPr>
        <w:t>V. melléklet 2. rész 31</w:t>
      </w:r>
      <w:r>
        <w:rPr>
          <w:rFonts w:ascii="Arial" w:hAnsi="Arial" w:cs="Arial"/>
          <w:color w:val="000000"/>
          <w:sz w:val="20"/>
          <w:szCs w:val="20"/>
        </w:rPr>
        <w:t>-</w:t>
      </w:r>
      <w:r w:rsidRPr="00B771E2">
        <w:rPr>
          <w:rFonts w:ascii="Arial" w:hAnsi="Arial" w:cs="Arial"/>
          <w:color w:val="000000"/>
          <w:sz w:val="20"/>
          <w:szCs w:val="20"/>
        </w:rPr>
        <w:t xml:space="preserve">56. pontja határozza meg. </w:t>
      </w:r>
    </w:p>
    <w:p w14:paraId="68A87BE1" w14:textId="7894361D" w:rsidR="00D040DE" w:rsidRPr="004257AC" w:rsidRDefault="00E00A92">
      <w:pPr>
        <w:autoSpaceDE w:val="0"/>
        <w:autoSpaceDN w:val="0"/>
        <w:adjustRightInd w:val="0"/>
        <w:spacing w:after="240"/>
        <w:jc w:val="both"/>
        <w:rPr>
          <w:rFonts w:ascii="Arial" w:hAnsi="Arial" w:cs="Arial"/>
          <w:b/>
          <w:bCs/>
          <w:sz w:val="20"/>
          <w:szCs w:val="20"/>
        </w:rPr>
      </w:pPr>
      <w:r w:rsidRPr="004257AC">
        <w:rPr>
          <w:rFonts w:ascii="Arial" w:hAnsi="Arial" w:cs="Arial"/>
          <w:b/>
          <w:bCs/>
          <w:sz w:val="20"/>
          <w:szCs w:val="20"/>
        </w:rPr>
        <w:lastRenderedPageBreak/>
        <w:t xml:space="preserve">A </w:t>
      </w:r>
      <w:r w:rsidR="00A5186E">
        <w:rPr>
          <w:rFonts w:ascii="Arial" w:hAnsi="Arial" w:cs="Arial"/>
          <w:b/>
          <w:bCs/>
          <w:sz w:val="20"/>
          <w:szCs w:val="20"/>
        </w:rPr>
        <w:t>tábla sorai</w:t>
      </w:r>
    </w:p>
    <w:tbl>
      <w:tblPr>
        <w:tblW w:w="9464" w:type="dxa"/>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Layout w:type="fixed"/>
        <w:tblLook w:val="04A0" w:firstRow="1" w:lastRow="0" w:firstColumn="1" w:lastColumn="0" w:noHBand="0" w:noVBand="1"/>
      </w:tblPr>
      <w:tblGrid>
        <w:gridCol w:w="959"/>
        <w:gridCol w:w="1304"/>
        <w:gridCol w:w="2977"/>
        <w:gridCol w:w="4224"/>
      </w:tblGrid>
      <w:tr w:rsidR="00233F1A" w:rsidRPr="00B771E2" w14:paraId="6FE9DA99" w14:textId="77777777" w:rsidTr="004E469A">
        <w:tc>
          <w:tcPr>
            <w:tcW w:w="959" w:type="dxa"/>
            <w:shd w:val="clear" w:color="auto" w:fill="auto"/>
            <w:tcMar>
              <w:top w:w="85" w:type="dxa"/>
            </w:tcMar>
            <w:vAlign w:val="center"/>
          </w:tcPr>
          <w:p w14:paraId="2F705987" w14:textId="77777777" w:rsidR="00233F1A" w:rsidRPr="00B771E2" w:rsidRDefault="00233F1A" w:rsidP="00035688">
            <w:pPr>
              <w:contextualSpacing/>
              <w:rPr>
                <w:rFonts w:ascii="Arial" w:hAnsi="Arial" w:cs="Arial"/>
                <w:b/>
                <w:sz w:val="20"/>
                <w:szCs w:val="20"/>
              </w:rPr>
            </w:pPr>
            <w:r w:rsidRPr="00B771E2">
              <w:rPr>
                <w:rFonts w:ascii="Arial" w:hAnsi="Arial" w:cs="Arial"/>
                <w:b/>
                <w:sz w:val="20"/>
                <w:szCs w:val="20"/>
              </w:rPr>
              <w:t>Sorkód</w:t>
            </w:r>
          </w:p>
        </w:tc>
        <w:tc>
          <w:tcPr>
            <w:tcW w:w="1304" w:type="dxa"/>
            <w:vAlign w:val="center"/>
          </w:tcPr>
          <w:p w14:paraId="04276EE8" w14:textId="77777777" w:rsidR="00233F1A" w:rsidRPr="00B771E2" w:rsidRDefault="00233F1A" w:rsidP="00035688">
            <w:pPr>
              <w:contextualSpacing/>
              <w:rPr>
                <w:rFonts w:ascii="Arial" w:hAnsi="Arial" w:cs="Arial"/>
                <w:b/>
                <w:sz w:val="20"/>
                <w:szCs w:val="20"/>
              </w:rPr>
            </w:pPr>
            <w:r w:rsidRPr="00B771E2">
              <w:rPr>
                <w:rFonts w:ascii="Arial" w:hAnsi="Arial" w:cs="Arial"/>
                <w:b/>
                <w:sz w:val="20"/>
                <w:szCs w:val="20"/>
              </w:rPr>
              <w:t>Hierarchia</w:t>
            </w:r>
          </w:p>
        </w:tc>
        <w:tc>
          <w:tcPr>
            <w:tcW w:w="2977" w:type="dxa"/>
            <w:shd w:val="clear" w:color="auto" w:fill="auto"/>
            <w:tcMar>
              <w:top w:w="85" w:type="dxa"/>
            </w:tcMar>
            <w:vAlign w:val="center"/>
          </w:tcPr>
          <w:p w14:paraId="77D66C1B" w14:textId="77777777" w:rsidR="00233F1A" w:rsidRPr="003E72BE" w:rsidRDefault="00233F1A" w:rsidP="00035688">
            <w:pPr>
              <w:contextualSpacing/>
              <w:jc w:val="center"/>
              <w:rPr>
                <w:rFonts w:ascii="Arial" w:hAnsi="Arial" w:cs="Arial"/>
                <w:b/>
                <w:sz w:val="20"/>
                <w:szCs w:val="20"/>
              </w:rPr>
            </w:pPr>
            <w:r w:rsidRPr="003E72BE">
              <w:rPr>
                <w:rFonts w:ascii="Arial" w:hAnsi="Arial" w:cs="Arial"/>
                <w:b/>
                <w:sz w:val="20"/>
                <w:szCs w:val="20"/>
              </w:rPr>
              <w:t>Megnevezés</w:t>
            </w:r>
          </w:p>
        </w:tc>
        <w:tc>
          <w:tcPr>
            <w:tcW w:w="4224" w:type="dxa"/>
            <w:shd w:val="clear" w:color="auto" w:fill="auto"/>
            <w:tcMar>
              <w:top w:w="85" w:type="dxa"/>
            </w:tcMar>
            <w:vAlign w:val="center"/>
          </w:tcPr>
          <w:p w14:paraId="77FE3FFE" w14:textId="77777777" w:rsidR="00233F1A" w:rsidRPr="00B771E2" w:rsidRDefault="00233F1A" w:rsidP="00035688">
            <w:pPr>
              <w:contextualSpacing/>
              <w:jc w:val="center"/>
              <w:rPr>
                <w:rFonts w:ascii="Arial" w:hAnsi="Arial" w:cs="Arial"/>
                <w:sz w:val="20"/>
                <w:szCs w:val="20"/>
              </w:rPr>
            </w:pPr>
            <w:r w:rsidRPr="00B771E2">
              <w:rPr>
                <w:rFonts w:ascii="Arial" w:hAnsi="Arial" w:cs="Arial"/>
                <w:b/>
                <w:sz w:val="20"/>
                <w:szCs w:val="20"/>
              </w:rPr>
              <w:t>Hivatkozások jogszabályokra és megjegyzések</w:t>
            </w:r>
          </w:p>
        </w:tc>
      </w:tr>
      <w:tr w:rsidR="00233F1A" w:rsidRPr="00B771E2" w14:paraId="7657B493" w14:textId="77777777" w:rsidTr="004E469A">
        <w:trPr>
          <w:trHeight w:val="2442"/>
        </w:trPr>
        <w:tc>
          <w:tcPr>
            <w:tcW w:w="959" w:type="dxa"/>
            <w:shd w:val="clear" w:color="auto" w:fill="auto"/>
            <w:tcMar>
              <w:top w:w="85" w:type="dxa"/>
            </w:tcMar>
            <w:vAlign w:val="center"/>
          </w:tcPr>
          <w:p w14:paraId="79740C00" w14:textId="2537E1A1" w:rsidR="00233F1A" w:rsidRPr="00B771E2" w:rsidRDefault="00233F1A" w:rsidP="00035688">
            <w:pPr>
              <w:contextualSpacing/>
              <w:rPr>
                <w:rFonts w:ascii="Arial" w:hAnsi="Arial" w:cs="Arial"/>
                <w:sz w:val="20"/>
                <w:szCs w:val="20"/>
              </w:rPr>
            </w:pPr>
            <w:r w:rsidRPr="00B771E2">
              <w:rPr>
                <w:rFonts w:ascii="Arial" w:hAnsi="Arial" w:cs="Arial"/>
                <w:sz w:val="20"/>
                <w:szCs w:val="20"/>
              </w:rPr>
              <w:t>297</w:t>
            </w:r>
          </w:p>
        </w:tc>
        <w:tc>
          <w:tcPr>
            <w:tcW w:w="1304" w:type="dxa"/>
            <w:vAlign w:val="center"/>
          </w:tcPr>
          <w:p w14:paraId="73FD55E8" w14:textId="07A20554" w:rsidR="00233F1A" w:rsidRPr="00B771E2" w:rsidRDefault="007436F0" w:rsidP="00035688">
            <w:pPr>
              <w:contextualSpacing/>
              <w:jc w:val="center"/>
              <w:rPr>
                <w:rFonts w:ascii="Arial" w:hAnsi="Arial" w:cs="Arial"/>
                <w:sz w:val="20"/>
                <w:szCs w:val="20"/>
              </w:rPr>
            </w:pPr>
            <w:r w:rsidRPr="00B771E2">
              <w:rPr>
                <w:rFonts w:ascii="Arial" w:hAnsi="Arial" w:cs="Arial"/>
                <w:sz w:val="20"/>
                <w:szCs w:val="20"/>
              </w:rPr>
              <w:t>5.</w:t>
            </w:r>
          </w:p>
        </w:tc>
        <w:tc>
          <w:tcPr>
            <w:tcW w:w="2977" w:type="dxa"/>
            <w:shd w:val="clear" w:color="auto" w:fill="auto"/>
            <w:tcMar>
              <w:top w:w="85" w:type="dxa"/>
            </w:tcMar>
            <w:vAlign w:val="center"/>
          </w:tcPr>
          <w:p w14:paraId="148876D6" w14:textId="6FABB127" w:rsidR="00233F1A" w:rsidRPr="00D95E66" w:rsidRDefault="009D20EA" w:rsidP="004E469A">
            <w:pPr>
              <w:pStyle w:val="Default"/>
              <w:spacing w:before="143" w:after="143"/>
              <w:jc w:val="both"/>
              <w:rPr>
                <w:rFonts w:ascii="Arial" w:hAnsi="Arial" w:cs="Arial"/>
                <w:sz w:val="20"/>
                <w:szCs w:val="20"/>
              </w:rPr>
            </w:pPr>
            <w:r w:rsidRPr="00D95E66">
              <w:rPr>
                <w:rFonts w:ascii="Arial" w:hAnsi="Arial" w:cs="Arial"/>
                <w:sz w:val="20"/>
                <w:szCs w:val="20"/>
              </w:rPr>
              <w:t>Pénzügyi eszközökből és kötelezettségekből származó működési nyereség vagy (</w:t>
            </w:r>
            <w:r w:rsidR="003106C9" w:rsidRPr="00D95E66">
              <w:rPr>
                <w:rFonts w:ascii="Arial" w:hAnsi="Arial" w:cs="Arial"/>
                <w:sz w:val="20"/>
                <w:szCs w:val="20"/>
              </w:rPr>
              <w:t>-</w:t>
            </w:r>
            <w:r w:rsidRPr="00D95E66">
              <w:rPr>
                <w:rFonts w:ascii="Arial" w:hAnsi="Arial" w:cs="Arial"/>
                <w:sz w:val="20"/>
                <w:szCs w:val="20"/>
              </w:rPr>
              <w:t xml:space="preserve">) veszteség </w:t>
            </w:r>
          </w:p>
        </w:tc>
        <w:tc>
          <w:tcPr>
            <w:tcW w:w="4224" w:type="dxa"/>
            <w:shd w:val="clear" w:color="auto" w:fill="auto"/>
            <w:tcMar>
              <w:top w:w="85" w:type="dxa"/>
            </w:tcMar>
            <w:vAlign w:val="center"/>
          </w:tcPr>
          <w:p w14:paraId="47E885CB" w14:textId="0B805A42" w:rsidR="00A248D1" w:rsidRDefault="00E51112" w:rsidP="00883E29">
            <w:pPr>
              <w:pStyle w:val="Default"/>
              <w:spacing w:before="143" w:after="143"/>
              <w:jc w:val="both"/>
              <w:rPr>
                <w:rFonts w:ascii="Arial" w:hAnsi="Arial" w:cs="Arial"/>
                <w:sz w:val="20"/>
                <w:szCs w:val="20"/>
              </w:rPr>
            </w:pPr>
            <w:r w:rsidRPr="00B771E2">
              <w:rPr>
                <w:rFonts w:ascii="Arial" w:hAnsi="Arial" w:cs="Arial"/>
                <w:sz w:val="20"/>
                <w:szCs w:val="20"/>
              </w:rPr>
              <w:t>A</w:t>
            </w:r>
            <w:r w:rsidR="004E79A7">
              <w:rPr>
                <w:rFonts w:ascii="Arial" w:hAnsi="Arial" w:cs="Arial"/>
                <w:sz w:val="20"/>
                <w:szCs w:val="20"/>
              </w:rPr>
              <w:t>z</w:t>
            </w:r>
            <w:r w:rsidRPr="00B771E2">
              <w:rPr>
                <w:rFonts w:ascii="Arial" w:hAnsi="Arial" w:cs="Arial"/>
                <w:sz w:val="20"/>
                <w:szCs w:val="20"/>
              </w:rPr>
              <w:t xml:space="preserve"> </w:t>
            </w:r>
            <w:r w:rsidR="004E79A7">
              <w:rPr>
                <w:rFonts w:ascii="Arial" w:hAnsi="Arial" w:cs="Arial"/>
                <w:sz w:val="20"/>
                <w:szCs w:val="20"/>
              </w:rPr>
              <w:t>(EU) 2021/451</w:t>
            </w:r>
            <w:r w:rsidRPr="00B771E2">
              <w:rPr>
                <w:rFonts w:ascii="Arial" w:hAnsi="Arial" w:cs="Arial"/>
                <w:sz w:val="20"/>
                <w:szCs w:val="20"/>
              </w:rPr>
              <w:t xml:space="preserve"> </w:t>
            </w:r>
            <w:r w:rsidR="00A5186E">
              <w:rPr>
                <w:rFonts w:ascii="Arial" w:hAnsi="Arial" w:cs="Arial"/>
                <w:sz w:val="20"/>
                <w:szCs w:val="20"/>
              </w:rPr>
              <w:t>bizottsági végrehajtási r</w:t>
            </w:r>
            <w:r w:rsidRPr="00B771E2">
              <w:rPr>
                <w:rFonts w:ascii="Arial" w:hAnsi="Arial" w:cs="Arial"/>
                <w:sz w:val="20"/>
                <w:szCs w:val="20"/>
              </w:rPr>
              <w:t>endelet III.</w:t>
            </w:r>
            <w:r w:rsidR="00A248D1">
              <w:rPr>
                <w:rFonts w:ascii="Arial" w:hAnsi="Arial" w:cs="Arial"/>
                <w:sz w:val="20"/>
                <w:szCs w:val="20"/>
              </w:rPr>
              <w:t xml:space="preserve"> </w:t>
            </w:r>
            <w:r w:rsidRPr="00B771E2">
              <w:rPr>
                <w:rFonts w:ascii="Arial" w:hAnsi="Arial" w:cs="Arial"/>
                <w:sz w:val="20"/>
                <w:szCs w:val="20"/>
              </w:rPr>
              <w:t xml:space="preserve">mellékletében </w:t>
            </w:r>
            <w:r w:rsidRPr="003E72BE">
              <w:rPr>
                <w:rFonts w:ascii="Arial" w:hAnsi="Arial" w:cs="Arial"/>
                <w:sz w:val="20"/>
                <w:szCs w:val="20"/>
              </w:rPr>
              <w:t>az F</w:t>
            </w:r>
            <w:r w:rsidR="003E72BE">
              <w:rPr>
                <w:rFonts w:ascii="Arial" w:hAnsi="Arial" w:cs="Arial"/>
                <w:sz w:val="20"/>
                <w:szCs w:val="20"/>
              </w:rPr>
              <w:t xml:space="preserve"> </w:t>
            </w:r>
            <w:r w:rsidRPr="003E72BE">
              <w:rPr>
                <w:rFonts w:ascii="Arial" w:hAnsi="Arial" w:cs="Arial"/>
                <w:sz w:val="20"/>
                <w:szCs w:val="20"/>
              </w:rPr>
              <w:t xml:space="preserve">02.00 </w:t>
            </w:r>
            <w:r w:rsidR="00E75CA7">
              <w:rPr>
                <w:rFonts w:ascii="Arial" w:hAnsi="Arial" w:cs="Arial"/>
                <w:sz w:val="20"/>
                <w:szCs w:val="20"/>
              </w:rPr>
              <w:t>E</w:t>
            </w:r>
            <w:r w:rsidRPr="003E72BE">
              <w:rPr>
                <w:rFonts w:ascii="Arial" w:hAnsi="Arial" w:cs="Arial"/>
                <w:sz w:val="20"/>
                <w:szCs w:val="20"/>
              </w:rPr>
              <w:t>redménykimutatás táblában meghatározottak szerint</w:t>
            </w:r>
            <w:r w:rsidR="00A5186E">
              <w:rPr>
                <w:rFonts w:ascii="Arial" w:hAnsi="Arial" w:cs="Arial"/>
                <w:sz w:val="20"/>
                <w:szCs w:val="20"/>
              </w:rPr>
              <w:t>i</w:t>
            </w:r>
            <w:r w:rsidR="00A248D1">
              <w:rPr>
                <w:rFonts w:ascii="Arial" w:hAnsi="Arial" w:cs="Arial"/>
                <w:sz w:val="20"/>
                <w:szCs w:val="20"/>
              </w:rPr>
              <w:t xml:space="preserve"> </w:t>
            </w:r>
            <w:r w:rsidR="00A5186E">
              <w:rPr>
                <w:rFonts w:ascii="Arial" w:hAnsi="Arial" w:cs="Arial"/>
                <w:sz w:val="20"/>
                <w:szCs w:val="20"/>
              </w:rPr>
              <w:t>következő tételek jelentendők</w:t>
            </w:r>
            <w:r w:rsidR="00A248D1">
              <w:rPr>
                <w:rFonts w:ascii="Arial" w:hAnsi="Arial" w:cs="Arial"/>
                <w:sz w:val="20"/>
                <w:szCs w:val="20"/>
              </w:rPr>
              <w:t>:</w:t>
            </w:r>
          </w:p>
          <w:p w14:paraId="6D3D1111" w14:textId="3755ADB9" w:rsidR="00A248D1" w:rsidRDefault="00E51112" w:rsidP="00883E29">
            <w:pPr>
              <w:pStyle w:val="Default"/>
              <w:spacing w:before="143" w:after="143"/>
              <w:jc w:val="both"/>
              <w:rPr>
                <w:rFonts w:ascii="Arial" w:hAnsi="Arial" w:cs="Arial"/>
                <w:sz w:val="20"/>
                <w:szCs w:val="20"/>
              </w:rPr>
            </w:pPr>
            <w:r w:rsidRPr="00B771E2">
              <w:rPr>
                <w:rFonts w:ascii="Arial" w:hAnsi="Arial" w:cs="Arial"/>
                <w:sz w:val="20"/>
                <w:szCs w:val="20"/>
              </w:rPr>
              <w:t>- az eredménnyel szemben valós értéken értékelt kategóriába nem tartozó pénzügyi eszközök és kötelezettségek kivezetéséből származó nyereség vagy (-) veszteség,</w:t>
            </w:r>
            <w:r w:rsidR="00817D2F">
              <w:rPr>
                <w:rFonts w:ascii="Arial" w:hAnsi="Arial" w:cs="Arial"/>
                <w:sz w:val="20"/>
                <w:szCs w:val="20"/>
              </w:rPr>
              <w:t xml:space="preserve"> </w:t>
            </w:r>
            <w:r w:rsidRPr="00B771E2">
              <w:rPr>
                <w:rFonts w:ascii="Arial" w:hAnsi="Arial" w:cs="Arial"/>
                <w:sz w:val="20"/>
                <w:szCs w:val="20"/>
              </w:rPr>
              <w:t>nettó;</w:t>
            </w:r>
          </w:p>
          <w:p w14:paraId="43F34EF7" w14:textId="04FB5F3B" w:rsidR="00A248D1" w:rsidRDefault="00E51112" w:rsidP="00883E29">
            <w:pPr>
              <w:pStyle w:val="Default"/>
              <w:spacing w:before="143" w:after="143"/>
              <w:jc w:val="both"/>
              <w:rPr>
                <w:rFonts w:ascii="Arial" w:hAnsi="Arial" w:cs="Arial"/>
                <w:sz w:val="20"/>
                <w:szCs w:val="20"/>
              </w:rPr>
            </w:pPr>
            <w:r w:rsidRPr="00B771E2">
              <w:rPr>
                <w:rFonts w:ascii="Arial" w:hAnsi="Arial" w:cs="Arial"/>
                <w:sz w:val="20"/>
                <w:szCs w:val="20"/>
              </w:rPr>
              <w:t>-kereskedési céllal tartott pénzügyi eszközökből és kötelezettségekből származó nyereség. vagy (-) veszteség, nettó;</w:t>
            </w:r>
          </w:p>
          <w:p w14:paraId="2A3E755E" w14:textId="31965E6C" w:rsidR="00A248D1" w:rsidRDefault="00E51112" w:rsidP="00883E29">
            <w:pPr>
              <w:pStyle w:val="Default"/>
              <w:spacing w:before="143" w:after="143"/>
              <w:jc w:val="both"/>
              <w:rPr>
                <w:rFonts w:ascii="Arial" w:hAnsi="Arial" w:cs="Arial"/>
                <w:sz w:val="20"/>
                <w:szCs w:val="20"/>
              </w:rPr>
            </w:pPr>
            <w:r w:rsidRPr="00B771E2">
              <w:rPr>
                <w:rFonts w:ascii="Arial" w:hAnsi="Arial" w:cs="Arial"/>
                <w:sz w:val="20"/>
                <w:szCs w:val="20"/>
              </w:rPr>
              <w:t>- kötelezően az eredménnyel szemben valós értéken értékelt, nem kereskedési célú pénzügyi eszközök nyeresége vagy (-) vesztesége, nettó</w:t>
            </w:r>
            <w:r w:rsidR="00F54AC4" w:rsidRPr="00B771E2">
              <w:rPr>
                <w:rFonts w:ascii="Arial" w:hAnsi="Arial" w:cs="Arial"/>
                <w:sz w:val="20"/>
                <w:szCs w:val="20"/>
              </w:rPr>
              <w:t>;</w:t>
            </w:r>
          </w:p>
          <w:p w14:paraId="07919041" w14:textId="56F7E521" w:rsidR="00233F1A" w:rsidRPr="00B771E2" w:rsidRDefault="00F54AC4" w:rsidP="00883E29">
            <w:pPr>
              <w:pStyle w:val="Default"/>
              <w:spacing w:before="143" w:after="143"/>
              <w:jc w:val="both"/>
              <w:rPr>
                <w:rFonts w:ascii="Arial" w:hAnsi="Arial" w:cs="Arial"/>
                <w:sz w:val="20"/>
                <w:szCs w:val="20"/>
              </w:rPr>
            </w:pPr>
            <w:r w:rsidRPr="00B771E2">
              <w:rPr>
                <w:rFonts w:ascii="Arial" w:hAnsi="Arial" w:cs="Arial"/>
                <w:sz w:val="20"/>
                <w:szCs w:val="20"/>
              </w:rPr>
              <w:t>- az eredménnyel szemben valós értéken értékeltnek megjelölt pénzügyi eszközök és kötelezettségek nyeresége vagy (-) vesztesége, nettó</w:t>
            </w:r>
            <w:r w:rsidR="00A248D1">
              <w:rPr>
                <w:rFonts w:ascii="Arial" w:hAnsi="Arial" w:cs="Arial"/>
                <w:sz w:val="20"/>
                <w:szCs w:val="20"/>
              </w:rPr>
              <w:t>.</w:t>
            </w:r>
          </w:p>
        </w:tc>
      </w:tr>
      <w:tr w:rsidR="00233F1A" w:rsidRPr="00B771E2" w14:paraId="2F65920B" w14:textId="77777777" w:rsidTr="004E469A">
        <w:tc>
          <w:tcPr>
            <w:tcW w:w="959" w:type="dxa"/>
            <w:shd w:val="clear" w:color="auto" w:fill="auto"/>
            <w:tcMar>
              <w:top w:w="85" w:type="dxa"/>
            </w:tcMar>
            <w:vAlign w:val="center"/>
          </w:tcPr>
          <w:p w14:paraId="1DB756A1" w14:textId="313BFE69" w:rsidR="00233F1A" w:rsidRPr="00B771E2" w:rsidRDefault="00233F1A" w:rsidP="00035688">
            <w:pPr>
              <w:contextualSpacing/>
              <w:rPr>
                <w:rFonts w:ascii="Arial" w:hAnsi="Arial" w:cs="Arial"/>
                <w:sz w:val="20"/>
                <w:szCs w:val="20"/>
              </w:rPr>
            </w:pPr>
            <w:r w:rsidRPr="00B771E2">
              <w:rPr>
                <w:rFonts w:ascii="Arial" w:hAnsi="Arial" w:cs="Arial"/>
                <w:sz w:val="20"/>
                <w:szCs w:val="20"/>
              </w:rPr>
              <w:t>354</w:t>
            </w:r>
          </w:p>
        </w:tc>
        <w:tc>
          <w:tcPr>
            <w:tcW w:w="1304" w:type="dxa"/>
            <w:vAlign w:val="center"/>
          </w:tcPr>
          <w:p w14:paraId="1D830F45" w14:textId="5501B341" w:rsidR="00233F1A" w:rsidRPr="00B771E2" w:rsidRDefault="00F02B02" w:rsidP="00035688">
            <w:pPr>
              <w:contextualSpacing/>
              <w:jc w:val="center"/>
              <w:rPr>
                <w:rFonts w:ascii="Arial" w:hAnsi="Arial" w:cs="Arial"/>
                <w:sz w:val="20"/>
                <w:szCs w:val="20"/>
              </w:rPr>
            </w:pPr>
            <w:r w:rsidRPr="00B771E2">
              <w:rPr>
                <w:rFonts w:ascii="Arial" w:hAnsi="Arial" w:cs="Arial"/>
                <w:sz w:val="20"/>
                <w:szCs w:val="20"/>
              </w:rPr>
              <w:t>6.</w:t>
            </w:r>
          </w:p>
        </w:tc>
        <w:tc>
          <w:tcPr>
            <w:tcW w:w="2977" w:type="dxa"/>
            <w:shd w:val="clear" w:color="auto" w:fill="auto"/>
            <w:tcMar>
              <w:top w:w="85" w:type="dxa"/>
            </w:tcMar>
            <w:vAlign w:val="center"/>
          </w:tcPr>
          <w:p w14:paraId="7E631EBD" w14:textId="11F54E72" w:rsidR="00233F1A" w:rsidRPr="00D95E66" w:rsidRDefault="00A5186E" w:rsidP="004F5330">
            <w:pPr>
              <w:pStyle w:val="Default"/>
              <w:spacing w:before="143" w:after="143"/>
              <w:jc w:val="both"/>
              <w:rPr>
                <w:rFonts w:ascii="Arial" w:hAnsi="Arial" w:cs="Arial"/>
                <w:sz w:val="20"/>
                <w:szCs w:val="20"/>
              </w:rPr>
            </w:pPr>
            <w:r w:rsidRPr="00D95E66">
              <w:rPr>
                <w:rFonts w:ascii="Arial" w:hAnsi="Arial" w:cs="Arial"/>
                <w:sz w:val="20"/>
                <w:szCs w:val="20"/>
              </w:rPr>
              <w:t>K</w:t>
            </w:r>
            <w:r w:rsidR="005450BD" w:rsidRPr="00D95E66">
              <w:rPr>
                <w:rFonts w:ascii="Arial" w:hAnsi="Arial" w:cs="Arial"/>
                <w:sz w:val="20"/>
                <w:szCs w:val="20"/>
              </w:rPr>
              <w:t xml:space="preserve">is méretű és nem összetett intézmények </w:t>
            </w:r>
            <w:r w:rsidR="00184442" w:rsidRPr="00D95E66">
              <w:rPr>
                <w:rFonts w:ascii="Arial" w:hAnsi="Arial" w:cs="Arial"/>
                <w:sz w:val="20"/>
                <w:szCs w:val="20"/>
              </w:rPr>
              <w:t xml:space="preserve">összes nettó működési bevételéhez, hozzájáruló </w:t>
            </w:r>
            <w:r w:rsidR="000A2582" w:rsidRPr="00D95E66">
              <w:rPr>
                <w:rFonts w:ascii="Arial" w:hAnsi="Arial" w:cs="Arial"/>
                <w:sz w:val="20"/>
                <w:szCs w:val="20"/>
              </w:rPr>
              <w:t>egyéb</w:t>
            </w:r>
            <w:r w:rsidR="00184442" w:rsidRPr="00D95E66">
              <w:rPr>
                <w:rFonts w:ascii="Arial" w:hAnsi="Arial" w:cs="Arial"/>
                <w:sz w:val="20"/>
                <w:szCs w:val="20"/>
              </w:rPr>
              <w:t xml:space="preserve"> tételek (+/-), nettó </w:t>
            </w:r>
          </w:p>
        </w:tc>
        <w:tc>
          <w:tcPr>
            <w:tcW w:w="4224" w:type="dxa"/>
            <w:shd w:val="clear" w:color="auto" w:fill="auto"/>
            <w:tcMar>
              <w:top w:w="85" w:type="dxa"/>
            </w:tcMar>
            <w:vAlign w:val="center"/>
          </w:tcPr>
          <w:p w14:paraId="087912D5" w14:textId="3853AB7F" w:rsidR="00184442" w:rsidRPr="00B771E2" w:rsidRDefault="00A5186E" w:rsidP="004F5330">
            <w:pPr>
              <w:pStyle w:val="Default"/>
              <w:spacing w:before="143" w:after="143"/>
              <w:jc w:val="both"/>
              <w:rPr>
                <w:rFonts w:ascii="Arial" w:hAnsi="Arial" w:cs="Arial"/>
                <w:sz w:val="20"/>
                <w:szCs w:val="20"/>
              </w:rPr>
            </w:pPr>
            <w:r>
              <w:rPr>
                <w:rFonts w:ascii="Arial" w:hAnsi="Arial" w:cs="Arial"/>
                <w:sz w:val="20"/>
                <w:szCs w:val="20"/>
              </w:rPr>
              <w:t>A</w:t>
            </w:r>
            <w:r w:rsidR="00184442" w:rsidRPr="00B771E2">
              <w:rPr>
                <w:rFonts w:ascii="Arial" w:hAnsi="Arial" w:cs="Arial"/>
                <w:sz w:val="20"/>
                <w:szCs w:val="20"/>
              </w:rPr>
              <w:t>z összes nettó működési bevételben szereplő</w:t>
            </w:r>
            <w:r w:rsidR="00B11E4B">
              <w:rPr>
                <w:rFonts w:ascii="Arial" w:hAnsi="Arial" w:cs="Arial"/>
                <w:sz w:val="20"/>
                <w:szCs w:val="20"/>
              </w:rPr>
              <w:t>,</w:t>
            </w:r>
            <w:r w:rsidR="00184442" w:rsidRPr="00B771E2">
              <w:rPr>
                <w:rFonts w:ascii="Arial" w:hAnsi="Arial" w:cs="Arial"/>
                <w:sz w:val="20"/>
                <w:szCs w:val="20"/>
              </w:rPr>
              <w:t xml:space="preserve"> a 010</w:t>
            </w:r>
            <w:r w:rsidR="00B11E4B">
              <w:rPr>
                <w:rFonts w:ascii="Arial" w:hAnsi="Arial" w:cs="Arial"/>
                <w:sz w:val="20"/>
                <w:szCs w:val="20"/>
              </w:rPr>
              <w:t>-</w:t>
            </w:r>
            <w:r w:rsidR="00184442" w:rsidRPr="00B771E2">
              <w:rPr>
                <w:rFonts w:ascii="Arial" w:hAnsi="Arial" w:cs="Arial"/>
                <w:sz w:val="20"/>
                <w:szCs w:val="20"/>
              </w:rPr>
              <w:t>297 sorban nem jelentett</w:t>
            </w:r>
            <w:r w:rsidR="00B11E4B">
              <w:rPr>
                <w:rFonts w:ascii="Arial" w:hAnsi="Arial" w:cs="Arial"/>
                <w:sz w:val="20"/>
                <w:szCs w:val="20"/>
              </w:rPr>
              <w:t xml:space="preserve"> </w:t>
            </w:r>
            <w:r>
              <w:rPr>
                <w:rFonts w:ascii="Arial" w:hAnsi="Arial" w:cs="Arial"/>
                <w:sz w:val="20"/>
                <w:szCs w:val="20"/>
              </w:rPr>
              <w:t>tétel</w:t>
            </w:r>
            <w:r w:rsidR="00184442" w:rsidRPr="00B771E2">
              <w:rPr>
                <w:rFonts w:ascii="Arial" w:hAnsi="Arial" w:cs="Arial"/>
                <w:sz w:val="20"/>
                <w:szCs w:val="20"/>
              </w:rPr>
              <w:t xml:space="preserve">ek. </w:t>
            </w:r>
          </w:p>
          <w:p w14:paraId="68521110" w14:textId="77777777" w:rsidR="00233F1A" w:rsidRPr="00B771E2" w:rsidRDefault="00233F1A" w:rsidP="00B771E2">
            <w:pPr>
              <w:pStyle w:val="Default"/>
              <w:spacing w:before="143" w:after="143"/>
              <w:rPr>
                <w:rFonts w:ascii="Arial" w:hAnsi="Arial" w:cs="Arial"/>
                <w:sz w:val="20"/>
                <w:szCs w:val="20"/>
              </w:rPr>
            </w:pPr>
          </w:p>
        </w:tc>
      </w:tr>
      <w:tr w:rsidR="00233F1A" w:rsidRPr="00B771E2" w14:paraId="03C58F01" w14:textId="77777777" w:rsidTr="004E469A">
        <w:tc>
          <w:tcPr>
            <w:tcW w:w="959" w:type="dxa"/>
            <w:shd w:val="clear" w:color="auto" w:fill="auto"/>
            <w:tcMar>
              <w:top w:w="85" w:type="dxa"/>
            </w:tcMar>
            <w:vAlign w:val="center"/>
          </w:tcPr>
          <w:p w14:paraId="40622C87" w14:textId="50A98D8B" w:rsidR="00233F1A" w:rsidRPr="00B771E2" w:rsidRDefault="00233F1A" w:rsidP="00035688">
            <w:pPr>
              <w:contextualSpacing/>
              <w:rPr>
                <w:rFonts w:ascii="Arial" w:hAnsi="Arial" w:cs="Arial"/>
                <w:sz w:val="20"/>
                <w:szCs w:val="20"/>
              </w:rPr>
            </w:pPr>
            <w:r w:rsidRPr="00B771E2">
              <w:rPr>
                <w:rFonts w:ascii="Arial" w:hAnsi="Arial" w:cs="Arial"/>
                <w:sz w:val="20"/>
                <w:szCs w:val="20"/>
              </w:rPr>
              <w:t>609</w:t>
            </w:r>
          </w:p>
        </w:tc>
        <w:tc>
          <w:tcPr>
            <w:tcW w:w="1304" w:type="dxa"/>
            <w:vAlign w:val="center"/>
          </w:tcPr>
          <w:p w14:paraId="11531083" w14:textId="2EB34E3B" w:rsidR="00233F1A" w:rsidRPr="00B771E2" w:rsidRDefault="00F02B02" w:rsidP="00035688">
            <w:pPr>
              <w:contextualSpacing/>
              <w:jc w:val="center"/>
              <w:rPr>
                <w:rFonts w:ascii="Arial" w:hAnsi="Arial" w:cs="Arial"/>
                <w:sz w:val="20"/>
                <w:szCs w:val="20"/>
              </w:rPr>
            </w:pPr>
            <w:r w:rsidRPr="00B771E2">
              <w:rPr>
                <w:rFonts w:ascii="Arial" w:hAnsi="Arial" w:cs="Arial"/>
                <w:sz w:val="20"/>
                <w:szCs w:val="20"/>
              </w:rPr>
              <w:t>12.</w:t>
            </w:r>
          </w:p>
        </w:tc>
        <w:tc>
          <w:tcPr>
            <w:tcW w:w="2977" w:type="dxa"/>
            <w:shd w:val="clear" w:color="auto" w:fill="auto"/>
            <w:tcMar>
              <w:top w:w="85" w:type="dxa"/>
            </w:tcMar>
            <w:vAlign w:val="center"/>
          </w:tcPr>
          <w:p w14:paraId="3AAD206C" w14:textId="0C88B470" w:rsidR="00233F1A" w:rsidRPr="00D95E66" w:rsidRDefault="00A5186E" w:rsidP="004F5330">
            <w:pPr>
              <w:pStyle w:val="Default"/>
              <w:spacing w:before="143" w:after="143"/>
              <w:jc w:val="both"/>
              <w:rPr>
                <w:rFonts w:ascii="Arial" w:hAnsi="Arial" w:cs="Arial"/>
                <w:sz w:val="20"/>
                <w:szCs w:val="20"/>
                <w:u w:val="single"/>
              </w:rPr>
            </w:pPr>
            <w:r w:rsidRPr="00D95E66">
              <w:rPr>
                <w:rFonts w:ascii="Arial" w:hAnsi="Arial" w:cs="Arial"/>
                <w:sz w:val="20"/>
                <w:szCs w:val="20"/>
              </w:rPr>
              <w:t>K</w:t>
            </w:r>
            <w:r w:rsidR="005450BD" w:rsidRPr="00D95E66">
              <w:rPr>
                <w:rFonts w:ascii="Arial" w:hAnsi="Arial" w:cs="Arial"/>
                <w:sz w:val="20"/>
                <w:szCs w:val="20"/>
              </w:rPr>
              <w:t xml:space="preserve">is méretű és nem összetett intézmények </w:t>
            </w:r>
            <w:r w:rsidR="00184442" w:rsidRPr="00D95E66">
              <w:rPr>
                <w:rFonts w:ascii="Arial" w:hAnsi="Arial" w:cs="Arial"/>
                <w:sz w:val="20"/>
                <w:szCs w:val="20"/>
              </w:rPr>
              <w:t xml:space="preserve">folytatódó tevékenységei adófizetés előtti nyereségéhez vagy (-) veszteségéhez hozzájáruló </w:t>
            </w:r>
            <w:r w:rsidR="000A2582" w:rsidRPr="00D95E66">
              <w:rPr>
                <w:rFonts w:ascii="Arial" w:hAnsi="Arial" w:cs="Arial"/>
                <w:sz w:val="20"/>
                <w:szCs w:val="20"/>
              </w:rPr>
              <w:t>egyéb</w:t>
            </w:r>
            <w:r w:rsidR="00184442" w:rsidRPr="00D95E66">
              <w:rPr>
                <w:rFonts w:ascii="Arial" w:hAnsi="Arial" w:cs="Arial"/>
                <w:sz w:val="20"/>
                <w:szCs w:val="20"/>
              </w:rPr>
              <w:t xml:space="preserve"> tételek (+/-)</w:t>
            </w:r>
            <w:r w:rsidR="00184442" w:rsidRPr="00D95E66">
              <w:rPr>
                <w:rFonts w:ascii="Arial" w:hAnsi="Arial" w:cs="Arial"/>
                <w:sz w:val="20"/>
                <w:szCs w:val="20"/>
                <w:u w:val="single"/>
              </w:rPr>
              <w:t xml:space="preserve"> </w:t>
            </w:r>
          </w:p>
        </w:tc>
        <w:tc>
          <w:tcPr>
            <w:tcW w:w="4224" w:type="dxa"/>
            <w:shd w:val="clear" w:color="auto" w:fill="auto"/>
            <w:tcMar>
              <w:top w:w="85" w:type="dxa"/>
            </w:tcMar>
            <w:vAlign w:val="center"/>
          </w:tcPr>
          <w:p w14:paraId="083391FB" w14:textId="40BB6370" w:rsidR="00184442" w:rsidRPr="00B771E2" w:rsidRDefault="00184442" w:rsidP="00883E29">
            <w:pPr>
              <w:pStyle w:val="Default"/>
              <w:spacing w:before="143" w:after="143"/>
              <w:jc w:val="both"/>
              <w:rPr>
                <w:rFonts w:ascii="Arial" w:hAnsi="Arial" w:cs="Arial"/>
                <w:sz w:val="20"/>
                <w:szCs w:val="20"/>
              </w:rPr>
            </w:pPr>
            <w:r w:rsidRPr="00B771E2">
              <w:rPr>
                <w:rFonts w:ascii="Arial" w:hAnsi="Arial" w:cs="Arial"/>
                <w:sz w:val="20"/>
                <w:szCs w:val="20"/>
              </w:rPr>
              <w:t>A folytatódó tevékenységek adófizetés előtti nyereségéhez vagy (</w:t>
            </w:r>
            <w:r w:rsidR="003106C9">
              <w:rPr>
                <w:rFonts w:ascii="Arial" w:hAnsi="Arial" w:cs="Arial"/>
                <w:sz w:val="20"/>
                <w:szCs w:val="20"/>
              </w:rPr>
              <w:t>-</w:t>
            </w:r>
            <w:r w:rsidRPr="00B771E2">
              <w:rPr>
                <w:rFonts w:ascii="Arial" w:hAnsi="Arial" w:cs="Arial"/>
                <w:sz w:val="20"/>
                <w:szCs w:val="20"/>
              </w:rPr>
              <w:t>) veszteségéhez hozzájáruló</w:t>
            </w:r>
            <w:r w:rsidR="00B11E4B">
              <w:rPr>
                <w:rFonts w:ascii="Arial" w:hAnsi="Arial" w:cs="Arial"/>
                <w:sz w:val="20"/>
                <w:szCs w:val="20"/>
              </w:rPr>
              <w:t>,</w:t>
            </w:r>
            <w:r w:rsidRPr="00B771E2">
              <w:rPr>
                <w:rFonts w:ascii="Arial" w:hAnsi="Arial" w:cs="Arial"/>
                <w:sz w:val="20"/>
                <w:szCs w:val="20"/>
              </w:rPr>
              <w:t xml:space="preserve"> a 360</w:t>
            </w:r>
            <w:r w:rsidR="00B11E4B">
              <w:rPr>
                <w:rFonts w:ascii="Arial" w:hAnsi="Arial" w:cs="Arial"/>
                <w:sz w:val="20"/>
                <w:szCs w:val="20"/>
              </w:rPr>
              <w:t>-</w:t>
            </w:r>
            <w:r w:rsidRPr="00B771E2">
              <w:rPr>
                <w:rFonts w:ascii="Arial" w:hAnsi="Arial" w:cs="Arial"/>
                <w:sz w:val="20"/>
                <w:szCs w:val="20"/>
              </w:rPr>
              <w:t>460 sorban nem jelentett</w:t>
            </w:r>
            <w:r w:rsidR="00B11E4B">
              <w:rPr>
                <w:rFonts w:ascii="Arial" w:hAnsi="Arial" w:cs="Arial"/>
                <w:sz w:val="20"/>
                <w:szCs w:val="20"/>
              </w:rPr>
              <w:t xml:space="preserve"> </w:t>
            </w:r>
            <w:r w:rsidR="00A5186E">
              <w:rPr>
                <w:rFonts w:ascii="Arial" w:hAnsi="Arial" w:cs="Arial"/>
                <w:sz w:val="20"/>
                <w:szCs w:val="20"/>
              </w:rPr>
              <w:t>tétel</w:t>
            </w:r>
            <w:r w:rsidRPr="00B771E2">
              <w:rPr>
                <w:rFonts w:ascii="Arial" w:hAnsi="Arial" w:cs="Arial"/>
                <w:sz w:val="20"/>
                <w:szCs w:val="20"/>
              </w:rPr>
              <w:t xml:space="preserve">ek. </w:t>
            </w:r>
          </w:p>
          <w:p w14:paraId="1EC196DE" w14:textId="77777777" w:rsidR="00233F1A" w:rsidRPr="00B771E2" w:rsidRDefault="00233F1A" w:rsidP="00035688">
            <w:pPr>
              <w:pStyle w:val="Default"/>
              <w:spacing w:before="143" w:after="143"/>
              <w:rPr>
                <w:rFonts w:ascii="Arial" w:hAnsi="Arial" w:cs="Arial"/>
                <w:sz w:val="20"/>
                <w:szCs w:val="20"/>
              </w:rPr>
            </w:pPr>
          </w:p>
        </w:tc>
      </w:tr>
    </w:tbl>
    <w:p w14:paraId="5EF9C7BC" w14:textId="77777777" w:rsidR="00233F1A" w:rsidRPr="00B771E2" w:rsidRDefault="00233F1A">
      <w:pPr>
        <w:autoSpaceDE w:val="0"/>
        <w:autoSpaceDN w:val="0"/>
        <w:adjustRightInd w:val="0"/>
        <w:spacing w:after="240"/>
        <w:jc w:val="both"/>
        <w:rPr>
          <w:rFonts w:ascii="Arial" w:hAnsi="Arial" w:cs="Arial"/>
          <w:sz w:val="20"/>
          <w:szCs w:val="20"/>
        </w:rPr>
      </w:pPr>
    </w:p>
    <w:p w14:paraId="767BCDC7" w14:textId="06923B8A" w:rsidR="00DC4481" w:rsidRPr="00B771E2" w:rsidRDefault="00DC4481" w:rsidP="00DC4481">
      <w:pPr>
        <w:autoSpaceDE w:val="0"/>
        <w:autoSpaceDN w:val="0"/>
        <w:adjustRightInd w:val="0"/>
        <w:rPr>
          <w:rFonts w:ascii="Arial" w:hAnsi="Arial" w:cs="Arial"/>
          <w:b/>
          <w:sz w:val="20"/>
          <w:szCs w:val="20"/>
        </w:rPr>
      </w:pPr>
    </w:p>
    <w:p w14:paraId="3302D482" w14:textId="0AFCEDFF" w:rsidR="00DC4481" w:rsidRPr="00B771E2" w:rsidRDefault="00DC4481" w:rsidP="00DC4481">
      <w:pPr>
        <w:autoSpaceDE w:val="0"/>
        <w:autoSpaceDN w:val="0"/>
        <w:adjustRightInd w:val="0"/>
        <w:rPr>
          <w:rFonts w:ascii="Arial" w:hAnsi="Arial" w:cs="Arial"/>
          <w:b/>
          <w:sz w:val="20"/>
          <w:szCs w:val="20"/>
        </w:rPr>
      </w:pPr>
      <w:r w:rsidRPr="00B771E2">
        <w:rPr>
          <w:rFonts w:ascii="Arial" w:hAnsi="Arial" w:cs="Arial"/>
          <w:b/>
          <w:sz w:val="20"/>
          <w:szCs w:val="20"/>
        </w:rPr>
        <w:t>13. P_05.00 Finanszírozási terv – Hite</w:t>
      </w:r>
      <w:r w:rsidR="00A30136">
        <w:rPr>
          <w:rFonts w:ascii="Arial" w:hAnsi="Arial" w:cs="Arial"/>
          <w:b/>
          <w:sz w:val="20"/>
          <w:szCs w:val="20"/>
        </w:rPr>
        <w:t>l</w:t>
      </w:r>
      <w:r w:rsidRPr="00B771E2">
        <w:rPr>
          <w:rFonts w:ascii="Arial" w:hAnsi="Arial" w:cs="Arial"/>
          <w:b/>
          <w:sz w:val="20"/>
          <w:szCs w:val="20"/>
        </w:rPr>
        <w:t>viszonyt megtestesítő értékpapírok kibocsátása és visszaváltása</w:t>
      </w:r>
    </w:p>
    <w:p w14:paraId="0C1FEDD5" w14:textId="77777777" w:rsidR="00DC4481" w:rsidRPr="00B771E2" w:rsidRDefault="00DC4481" w:rsidP="00DC4481">
      <w:pPr>
        <w:autoSpaceDE w:val="0"/>
        <w:autoSpaceDN w:val="0"/>
        <w:adjustRightInd w:val="0"/>
        <w:rPr>
          <w:rFonts w:ascii="Arial" w:hAnsi="Arial" w:cs="Arial"/>
          <w:b/>
          <w:sz w:val="20"/>
          <w:szCs w:val="20"/>
        </w:rPr>
      </w:pPr>
    </w:p>
    <w:p w14:paraId="39F65367" w14:textId="7F48C69D" w:rsidR="00DC4481" w:rsidRPr="00B771E2" w:rsidRDefault="00DC4481" w:rsidP="00DC4481">
      <w:pPr>
        <w:autoSpaceDE w:val="0"/>
        <w:autoSpaceDN w:val="0"/>
        <w:adjustRightInd w:val="0"/>
        <w:spacing w:after="240"/>
        <w:jc w:val="both"/>
        <w:rPr>
          <w:rFonts w:ascii="Arial" w:hAnsi="Arial" w:cs="Arial"/>
          <w:color w:val="000000"/>
          <w:sz w:val="20"/>
          <w:szCs w:val="20"/>
        </w:rPr>
      </w:pPr>
      <w:r w:rsidRPr="00B771E2">
        <w:rPr>
          <w:rFonts w:ascii="Arial" w:hAnsi="Arial" w:cs="Arial"/>
          <w:color w:val="000000"/>
          <w:sz w:val="20"/>
          <w:szCs w:val="20"/>
        </w:rPr>
        <w:t xml:space="preserve">Az adósság instrumentumokra és az alábontásokra a </w:t>
      </w:r>
      <w:r w:rsidR="00876C51" w:rsidRPr="00B771E2">
        <w:rPr>
          <w:rFonts w:ascii="Arial" w:hAnsi="Arial" w:cs="Arial"/>
          <w:color w:val="000000"/>
          <w:sz w:val="20"/>
          <w:szCs w:val="20"/>
        </w:rPr>
        <w:t>P</w:t>
      </w:r>
      <w:r w:rsidR="003E72BE">
        <w:rPr>
          <w:rFonts w:ascii="Arial" w:hAnsi="Arial" w:cs="Arial"/>
          <w:color w:val="000000"/>
          <w:sz w:val="20"/>
          <w:szCs w:val="20"/>
        </w:rPr>
        <w:t>_</w:t>
      </w:r>
      <w:r w:rsidR="00876C51" w:rsidRPr="00B771E2">
        <w:rPr>
          <w:rFonts w:ascii="Arial" w:hAnsi="Arial" w:cs="Arial"/>
          <w:color w:val="000000"/>
          <w:sz w:val="20"/>
          <w:szCs w:val="20"/>
        </w:rPr>
        <w:t xml:space="preserve">01.02 </w:t>
      </w:r>
      <w:r w:rsidR="00521A47">
        <w:rPr>
          <w:rFonts w:ascii="Arial" w:hAnsi="Arial" w:cs="Arial"/>
          <w:color w:val="000000"/>
          <w:sz w:val="20"/>
          <w:szCs w:val="20"/>
        </w:rPr>
        <w:t>Források</w:t>
      </w:r>
      <w:r w:rsidRPr="00B771E2">
        <w:rPr>
          <w:rFonts w:ascii="Arial" w:hAnsi="Arial" w:cs="Arial"/>
          <w:color w:val="000000"/>
          <w:sz w:val="20"/>
          <w:szCs w:val="20"/>
        </w:rPr>
        <w:t xml:space="preserve"> táblá</w:t>
      </w:r>
      <w:r w:rsidR="00876C51" w:rsidRPr="00B771E2">
        <w:rPr>
          <w:rFonts w:ascii="Arial" w:hAnsi="Arial" w:cs="Arial"/>
          <w:color w:val="000000"/>
          <w:sz w:val="20"/>
          <w:szCs w:val="20"/>
        </w:rPr>
        <w:t>nál</w:t>
      </w:r>
      <w:r w:rsidRPr="00B771E2">
        <w:rPr>
          <w:rFonts w:ascii="Arial" w:hAnsi="Arial" w:cs="Arial"/>
          <w:color w:val="000000"/>
          <w:sz w:val="20"/>
          <w:szCs w:val="20"/>
        </w:rPr>
        <w:t xml:space="preserve"> </w:t>
      </w:r>
      <w:r w:rsidR="00876C51" w:rsidRPr="00B771E2">
        <w:rPr>
          <w:rFonts w:ascii="Arial" w:hAnsi="Arial" w:cs="Arial"/>
          <w:color w:val="000000"/>
          <w:sz w:val="20"/>
          <w:szCs w:val="20"/>
        </w:rPr>
        <w:t>leírtakat kell figyelembe venni.</w:t>
      </w:r>
    </w:p>
    <w:p w14:paraId="30D23BB8" w14:textId="3CA734B6" w:rsidR="00D040DE" w:rsidRPr="00B771E2" w:rsidRDefault="00D040DE" w:rsidP="00D040DE">
      <w:pPr>
        <w:autoSpaceDE w:val="0"/>
        <w:autoSpaceDN w:val="0"/>
        <w:adjustRightInd w:val="0"/>
        <w:spacing w:after="240"/>
        <w:jc w:val="both"/>
        <w:rPr>
          <w:rFonts w:ascii="Arial" w:hAnsi="Arial" w:cs="Arial"/>
          <w:color w:val="000000"/>
          <w:sz w:val="20"/>
          <w:szCs w:val="20"/>
        </w:rPr>
      </w:pPr>
      <w:r w:rsidRPr="00B771E2">
        <w:rPr>
          <w:rFonts w:ascii="Arial" w:hAnsi="Arial" w:cs="Arial"/>
          <w:color w:val="000000"/>
          <w:sz w:val="20"/>
          <w:szCs w:val="20"/>
        </w:rPr>
        <w:t>A hitelintézetnek a megfelelő instrumentumtípus „lejáró (bruttó kiáramlás)” sorában jelenteni</w:t>
      </w:r>
      <w:r w:rsidR="00CC5198">
        <w:rPr>
          <w:rFonts w:ascii="Arial" w:hAnsi="Arial" w:cs="Arial"/>
          <w:color w:val="000000"/>
          <w:sz w:val="20"/>
          <w:szCs w:val="20"/>
        </w:rPr>
        <w:t>e</w:t>
      </w:r>
      <w:r w:rsidRPr="00B771E2">
        <w:rPr>
          <w:rFonts w:ascii="Arial" w:hAnsi="Arial" w:cs="Arial"/>
          <w:color w:val="000000"/>
          <w:sz w:val="20"/>
          <w:szCs w:val="20"/>
        </w:rPr>
        <w:t xml:space="preserve"> kell azoknak az instrumentumoknak az összegét, amelyek a szerződés alapján az előző időszak végétől az adott időszak végéig terjedő időszakban járnak le. Idetartoznak a </w:t>
      </w:r>
      <w:r w:rsidR="0072109E">
        <w:rPr>
          <w:rFonts w:ascii="Arial" w:hAnsi="Arial" w:cs="Arial"/>
          <w:color w:val="000000"/>
          <w:sz w:val="20"/>
          <w:szCs w:val="20"/>
        </w:rPr>
        <w:t xml:space="preserve">hitelintézet </w:t>
      </w:r>
      <w:r w:rsidRPr="00B771E2">
        <w:rPr>
          <w:rFonts w:ascii="Arial" w:hAnsi="Arial" w:cs="Arial"/>
          <w:color w:val="000000"/>
          <w:sz w:val="20"/>
          <w:szCs w:val="20"/>
        </w:rPr>
        <w:t>által visszavásárolt és visszaváltott, valamint a szerződéses lejárat dátuma előtt</w:t>
      </w:r>
      <w:r w:rsidR="004F5330">
        <w:rPr>
          <w:rFonts w:ascii="Arial" w:hAnsi="Arial" w:cs="Arial"/>
          <w:color w:val="000000"/>
          <w:sz w:val="20"/>
          <w:szCs w:val="20"/>
        </w:rPr>
        <w:t xml:space="preserve"> </w:t>
      </w:r>
      <w:r w:rsidRPr="00B771E2">
        <w:rPr>
          <w:rFonts w:ascii="Arial" w:hAnsi="Arial" w:cs="Arial"/>
          <w:color w:val="000000"/>
          <w:sz w:val="20"/>
          <w:szCs w:val="20"/>
        </w:rPr>
        <w:t xml:space="preserve">törölt instrumentumok is. </w:t>
      </w:r>
    </w:p>
    <w:p w14:paraId="23E5113D" w14:textId="35B242CA" w:rsidR="00D040DE" w:rsidRPr="00B771E2" w:rsidRDefault="00D040DE" w:rsidP="00B771E2">
      <w:pPr>
        <w:autoSpaceDE w:val="0"/>
        <w:autoSpaceDN w:val="0"/>
        <w:adjustRightInd w:val="0"/>
        <w:spacing w:after="240"/>
        <w:jc w:val="both"/>
        <w:rPr>
          <w:rFonts w:ascii="Arial" w:hAnsi="Arial" w:cs="Arial"/>
          <w:color w:val="000000"/>
          <w:sz w:val="20"/>
          <w:szCs w:val="20"/>
        </w:rPr>
      </w:pPr>
      <w:r w:rsidRPr="00B771E2">
        <w:rPr>
          <w:rFonts w:ascii="Arial" w:hAnsi="Arial" w:cs="Arial"/>
          <w:color w:val="000000"/>
          <w:sz w:val="20"/>
          <w:szCs w:val="20"/>
        </w:rPr>
        <w:t>A hitelintézetnek a megfelelő instrumentumtípus „meg nem tartott kibocsátás (bruttó beáramlás)” sorában jelenteni</w:t>
      </w:r>
      <w:r w:rsidR="00A5186E">
        <w:rPr>
          <w:rFonts w:ascii="Arial" w:hAnsi="Arial" w:cs="Arial"/>
          <w:color w:val="000000"/>
          <w:sz w:val="20"/>
          <w:szCs w:val="20"/>
        </w:rPr>
        <w:t>e</w:t>
      </w:r>
      <w:r w:rsidRPr="00B771E2">
        <w:rPr>
          <w:rFonts w:ascii="Arial" w:hAnsi="Arial" w:cs="Arial"/>
          <w:color w:val="000000"/>
          <w:sz w:val="20"/>
          <w:szCs w:val="20"/>
        </w:rPr>
        <w:t xml:space="preserve"> kell azokat az összegeket, amelyeket a</w:t>
      </w:r>
      <w:r w:rsidR="00226C06">
        <w:rPr>
          <w:rFonts w:ascii="Arial" w:hAnsi="Arial" w:cs="Arial"/>
          <w:color w:val="000000"/>
          <w:sz w:val="20"/>
          <w:szCs w:val="20"/>
        </w:rPr>
        <w:t xml:space="preserve"> </w:t>
      </w:r>
      <w:r w:rsidR="00A5186E">
        <w:rPr>
          <w:rFonts w:ascii="Arial" w:hAnsi="Arial" w:cs="Arial"/>
          <w:color w:val="000000"/>
          <w:sz w:val="20"/>
          <w:szCs w:val="20"/>
        </w:rPr>
        <w:t>hitelintézet</w:t>
      </w:r>
      <w:r w:rsidRPr="00B771E2">
        <w:rPr>
          <w:rFonts w:ascii="Arial" w:hAnsi="Arial" w:cs="Arial"/>
          <w:color w:val="000000"/>
          <w:sz w:val="20"/>
          <w:szCs w:val="20"/>
        </w:rPr>
        <w:t xml:space="preserve"> az előző időszak végétől az adott </w:t>
      </w:r>
      <w:r w:rsidRPr="00B771E2">
        <w:rPr>
          <w:rFonts w:ascii="Arial" w:hAnsi="Arial" w:cs="Arial"/>
          <w:color w:val="000000"/>
          <w:sz w:val="20"/>
          <w:szCs w:val="20"/>
        </w:rPr>
        <w:lastRenderedPageBreak/>
        <w:t>időszak végéig terjedő időszakban kibocsátani tervez</w:t>
      </w:r>
      <w:r w:rsidR="00226C06">
        <w:rPr>
          <w:rFonts w:ascii="Arial" w:hAnsi="Arial" w:cs="Arial"/>
          <w:color w:val="000000"/>
          <w:sz w:val="20"/>
          <w:szCs w:val="20"/>
        </w:rPr>
        <w:t>,</w:t>
      </w:r>
      <w:r w:rsidRPr="00B771E2">
        <w:rPr>
          <w:rFonts w:ascii="Arial" w:hAnsi="Arial" w:cs="Arial"/>
          <w:color w:val="000000"/>
          <w:sz w:val="20"/>
          <w:szCs w:val="20"/>
        </w:rPr>
        <w:t xml:space="preserve"> és nem kíván megtartani. </w:t>
      </w:r>
      <w:r w:rsidR="00A5186E">
        <w:rPr>
          <w:rFonts w:ascii="Arial" w:hAnsi="Arial" w:cs="Arial"/>
          <w:color w:val="000000"/>
          <w:sz w:val="20"/>
          <w:szCs w:val="20"/>
        </w:rPr>
        <w:t>Az itt jelentett adatok</w:t>
      </w:r>
      <w:r w:rsidRPr="00B771E2">
        <w:rPr>
          <w:rFonts w:ascii="Arial" w:hAnsi="Arial" w:cs="Arial"/>
          <w:color w:val="000000"/>
          <w:sz w:val="20"/>
          <w:szCs w:val="20"/>
        </w:rPr>
        <w:t xml:space="preserve"> nem tartalmazhatják a következő bekezdésben meghatározottak szerint megtartani kívánt összegeket. </w:t>
      </w:r>
    </w:p>
    <w:p w14:paraId="569B6A17" w14:textId="3B4A1159" w:rsidR="00D040DE" w:rsidRPr="00B771E2" w:rsidRDefault="00D040DE" w:rsidP="00D040DE">
      <w:pPr>
        <w:autoSpaceDE w:val="0"/>
        <w:autoSpaceDN w:val="0"/>
        <w:adjustRightInd w:val="0"/>
        <w:spacing w:after="240"/>
        <w:jc w:val="both"/>
        <w:rPr>
          <w:rFonts w:ascii="Arial" w:hAnsi="Arial" w:cs="Arial"/>
          <w:color w:val="000000"/>
          <w:sz w:val="20"/>
          <w:szCs w:val="20"/>
        </w:rPr>
      </w:pPr>
      <w:r w:rsidRPr="00B771E2">
        <w:rPr>
          <w:rFonts w:ascii="Arial" w:hAnsi="Arial" w:cs="Arial"/>
          <w:color w:val="000000"/>
          <w:sz w:val="20"/>
          <w:szCs w:val="20"/>
        </w:rPr>
        <w:t xml:space="preserve">A hitelintézetnek a „megtartott kibocsátások (tájékoztató adat)” részben be kell </w:t>
      </w:r>
      <w:r w:rsidR="00A5186E">
        <w:rPr>
          <w:rFonts w:ascii="Arial" w:hAnsi="Arial" w:cs="Arial"/>
          <w:color w:val="000000"/>
          <w:sz w:val="20"/>
          <w:szCs w:val="20"/>
        </w:rPr>
        <w:t>jelenteni</w:t>
      </w:r>
      <w:r w:rsidRPr="00B771E2">
        <w:rPr>
          <w:rFonts w:ascii="Arial" w:hAnsi="Arial" w:cs="Arial"/>
          <w:color w:val="000000"/>
          <w:sz w:val="20"/>
          <w:szCs w:val="20"/>
        </w:rPr>
        <w:t xml:space="preserve"> azoknak a kibocsátásoknak az összegét, amelyeket nem hoz forgalomba, hanem ehelyett megtartja azokat, például a központi bankokkal repókon keresztül történő refinanszírozási műveletek céljából. </w:t>
      </w:r>
    </w:p>
    <w:p w14:paraId="02735948" w14:textId="0774B5F9" w:rsidR="00DC4481" w:rsidRPr="00B771E2" w:rsidRDefault="00D040DE" w:rsidP="00B771E2">
      <w:pPr>
        <w:autoSpaceDE w:val="0"/>
        <w:autoSpaceDN w:val="0"/>
        <w:adjustRightInd w:val="0"/>
        <w:spacing w:after="240"/>
        <w:jc w:val="both"/>
        <w:rPr>
          <w:rFonts w:ascii="Arial" w:hAnsi="Arial" w:cs="Arial"/>
          <w:color w:val="000000"/>
          <w:sz w:val="20"/>
          <w:szCs w:val="20"/>
        </w:rPr>
      </w:pPr>
      <w:r w:rsidRPr="00B771E2">
        <w:rPr>
          <w:rFonts w:ascii="Arial" w:hAnsi="Arial" w:cs="Arial"/>
          <w:color w:val="000000"/>
          <w:sz w:val="20"/>
          <w:szCs w:val="20"/>
        </w:rPr>
        <w:t xml:space="preserve">Azon instrumentumok esetén, amelyek egyik kategóriából </w:t>
      </w:r>
      <w:r w:rsidR="00A5186E">
        <w:rPr>
          <w:rFonts w:ascii="Arial" w:hAnsi="Arial" w:cs="Arial"/>
          <w:color w:val="000000"/>
          <w:sz w:val="20"/>
          <w:szCs w:val="20"/>
        </w:rPr>
        <w:t>a</w:t>
      </w:r>
      <w:r w:rsidR="004A2639">
        <w:rPr>
          <w:rFonts w:ascii="Arial" w:hAnsi="Arial" w:cs="Arial"/>
          <w:color w:val="000000"/>
          <w:sz w:val="20"/>
          <w:szCs w:val="20"/>
        </w:rPr>
        <w:t xml:space="preserve"> </w:t>
      </w:r>
      <w:r w:rsidRPr="00B771E2">
        <w:rPr>
          <w:rFonts w:ascii="Arial" w:hAnsi="Arial" w:cs="Arial"/>
          <w:color w:val="000000"/>
          <w:sz w:val="20"/>
          <w:szCs w:val="20"/>
        </w:rPr>
        <w:t>másikba kerülnek át – ideértve a fokozatosan kivont kiegészítő alapvető tőkeinstrumentumokat is, amelyek teljes jogú járulékos tőkeinstrumentumokká válnak –, az instrumentumokat kiáramlásként kell feltüntetni a megfelelő eredeti instrumentumkategória „lejáró (bruttó kiáramlás)” soraiban, valamint beáramlásként a megfelelő új instrumentumkategória „meg nem tartott kibocsátás (bruttó beáramlás)” soraiban.</w:t>
      </w:r>
    </w:p>
    <w:p w14:paraId="6D55C0CE" w14:textId="312B4B1F" w:rsidR="00863C6D" w:rsidRPr="00B771E2" w:rsidRDefault="00DC4481" w:rsidP="00FE6B4B">
      <w:pPr>
        <w:autoSpaceDE w:val="0"/>
        <w:autoSpaceDN w:val="0"/>
        <w:adjustRightInd w:val="0"/>
        <w:rPr>
          <w:rFonts w:ascii="Arial" w:hAnsi="Arial" w:cs="Arial"/>
          <w:b/>
          <w:sz w:val="20"/>
          <w:szCs w:val="20"/>
        </w:rPr>
      </w:pPr>
      <w:r w:rsidRPr="00B771E2">
        <w:rPr>
          <w:rFonts w:ascii="Arial" w:hAnsi="Arial" w:cs="Arial"/>
          <w:b/>
          <w:sz w:val="20"/>
          <w:szCs w:val="20"/>
        </w:rPr>
        <w:t xml:space="preserve">14. </w:t>
      </w:r>
      <w:r w:rsidR="002D691F" w:rsidRPr="00B771E2">
        <w:rPr>
          <w:rFonts w:ascii="Arial" w:hAnsi="Arial" w:cs="Arial"/>
          <w:b/>
          <w:sz w:val="20"/>
          <w:szCs w:val="20"/>
        </w:rPr>
        <w:t>Az egyedi szintű finanszírozási tervjelentésre vonatkozó speciális szabályok</w:t>
      </w:r>
      <w:r w:rsidR="005C01CF" w:rsidRPr="00B771E2">
        <w:rPr>
          <w:rFonts w:ascii="Arial" w:hAnsi="Arial" w:cs="Arial"/>
          <w:b/>
          <w:sz w:val="20"/>
          <w:szCs w:val="20"/>
        </w:rPr>
        <w:t xml:space="preserve">  </w:t>
      </w:r>
    </w:p>
    <w:p w14:paraId="0DD2A064" w14:textId="77777777" w:rsidR="005C01CF" w:rsidRPr="00B771E2" w:rsidRDefault="005C01CF" w:rsidP="00FE6B4B">
      <w:pPr>
        <w:autoSpaceDE w:val="0"/>
        <w:autoSpaceDN w:val="0"/>
        <w:adjustRightInd w:val="0"/>
        <w:rPr>
          <w:rFonts w:ascii="Arial" w:hAnsi="Arial" w:cs="Arial"/>
          <w:sz w:val="20"/>
          <w:szCs w:val="20"/>
        </w:rPr>
      </w:pPr>
    </w:p>
    <w:p w14:paraId="7820A0B4" w14:textId="3C041856" w:rsidR="00863C6D" w:rsidRPr="00B771E2" w:rsidRDefault="002D691F" w:rsidP="00AA1040">
      <w:pPr>
        <w:autoSpaceDE w:val="0"/>
        <w:autoSpaceDN w:val="0"/>
        <w:adjustRightInd w:val="0"/>
        <w:jc w:val="both"/>
        <w:rPr>
          <w:rFonts w:ascii="Arial" w:hAnsi="Arial" w:cs="Arial"/>
          <w:sz w:val="20"/>
          <w:szCs w:val="20"/>
        </w:rPr>
      </w:pPr>
      <w:r w:rsidRPr="00B771E2">
        <w:rPr>
          <w:rFonts w:ascii="Arial" w:hAnsi="Arial" w:cs="Arial"/>
          <w:sz w:val="20"/>
          <w:szCs w:val="20"/>
        </w:rPr>
        <w:t>Az egyedi szintű finanszírozási terv jelentésére köteles hitelintézet a P</w:t>
      </w:r>
      <w:r w:rsidR="005737DB">
        <w:rPr>
          <w:rFonts w:ascii="Arial" w:hAnsi="Arial" w:cs="Arial"/>
          <w:sz w:val="20"/>
          <w:szCs w:val="20"/>
        </w:rPr>
        <w:t>_</w:t>
      </w:r>
      <w:r w:rsidRPr="00B771E2">
        <w:rPr>
          <w:rFonts w:ascii="Arial" w:hAnsi="Arial" w:cs="Arial"/>
          <w:sz w:val="20"/>
          <w:szCs w:val="20"/>
        </w:rPr>
        <w:t>01.01-P</w:t>
      </w:r>
      <w:r w:rsidR="007B0C1C" w:rsidRPr="00B771E2">
        <w:rPr>
          <w:rFonts w:ascii="Arial" w:hAnsi="Arial" w:cs="Arial"/>
          <w:sz w:val="20"/>
          <w:szCs w:val="20"/>
        </w:rPr>
        <w:t>_05.00</w:t>
      </w:r>
      <w:r w:rsidRPr="00B771E2">
        <w:rPr>
          <w:rFonts w:ascii="Arial" w:hAnsi="Arial" w:cs="Arial"/>
          <w:sz w:val="20"/>
          <w:szCs w:val="20"/>
        </w:rPr>
        <w:t xml:space="preserve"> kódú táblák kitöltésénél a</w:t>
      </w:r>
      <w:r w:rsidR="004E79A7">
        <w:rPr>
          <w:rFonts w:ascii="Arial" w:hAnsi="Arial" w:cs="Arial"/>
          <w:sz w:val="20"/>
          <w:szCs w:val="20"/>
        </w:rPr>
        <w:t>z</w:t>
      </w:r>
      <w:r w:rsidRPr="00B771E2">
        <w:rPr>
          <w:rFonts w:ascii="Arial" w:hAnsi="Arial" w:cs="Arial"/>
          <w:sz w:val="20"/>
          <w:szCs w:val="20"/>
        </w:rPr>
        <w:t xml:space="preserve"> </w:t>
      </w:r>
      <w:r w:rsidR="004E79A7">
        <w:rPr>
          <w:rFonts w:ascii="Arial" w:hAnsi="Arial" w:cs="Arial"/>
          <w:sz w:val="20"/>
          <w:szCs w:val="20"/>
        </w:rPr>
        <w:t>(EU) 2021/451</w:t>
      </w:r>
      <w:r w:rsidR="004E79A7" w:rsidRPr="00ED3820">
        <w:rPr>
          <w:rFonts w:ascii="Arial" w:hAnsi="Arial" w:cs="Arial"/>
          <w:sz w:val="20"/>
          <w:szCs w:val="20"/>
        </w:rPr>
        <w:t xml:space="preserve"> </w:t>
      </w:r>
      <w:r w:rsidRPr="00B771E2">
        <w:rPr>
          <w:rFonts w:ascii="Arial" w:hAnsi="Arial" w:cs="Arial"/>
          <w:sz w:val="20"/>
          <w:szCs w:val="20"/>
        </w:rPr>
        <w:t xml:space="preserve">bizottsági végrehajtási rendelet </w:t>
      </w:r>
      <w:r w:rsidR="00DC4481" w:rsidRPr="00B771E2">
        <w:rPr>
          <w:rFonts w:ascii="Arial" w:hAnsi="Arial" w:cs="Arial"/>
          <w:sz w:val="20"/>
          <w:szCs w:val="20"/>
        </w:rPr>
        <w:t xml:space="preserve">III. </w:t>
      </w:r>
      <w:r w:rsidRPr="00B771E2">
        <w:rPr>
          <w:rFonts w:ascii="Arial" w:hAnsi="Arial" w:cs="Arial"/>
          <w:sz w:val="20"/>
          <w:szCs w:val="20"/>
        </w:rPr>
        <w:t>melléklete szerinti konszolidált F</w:t>
      </w:r>
      <w:r w:rsidR="00F57027">
        <w:rPr>
          <w:rFonts w:ascii="Arial" w:hAnsi="Arial" w:cs="Arial"/>
          <w:sz w:val="20"/>
          <w:szCs w:val="20"/>
        </w:rPr>
        <w:t>INREP</w:t>
      </w:r>
      <w:r w:rsidRPr="00B771E2">
        <w:rPr>
          <w:rFonts w:ascii="Arial" w:hAnsi="Arial" w:cs="Arial"/>
          <w:sz w:val="20"/>
          <w:szCs w:val="20"/>
        </w:rPr>
        <w:t xml:space="preserve"> táblákban jelentett adatok helyett az e rendelet 3. melléklete szerinti egyedi szintű FINREP táblák vonatkozó adatait veszi alapul.</w:t>
      </w:r>
    </w:p>
    <w:sectPr w:rsidR="00863C6D" w:rsidRPr="00B771E2" w:rsidSect="00E2370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A1DB1" w14:textId="77777777" w:rsidR="00655858" w:rsidRDefault="00655858" w:rsidP="009A5661">
      <w:r>
        <w:separator/>
      </w:r>
    </w:p>
  </w:endnote>
  <w:endnote w:type="continuationSeparator" w:id="0">
    <w:p w14:paraId="5BC167A6" w14:textId="77777777" w:rsidR="00655858" w:rsidRDefault="00655858" w:rsidP="009A56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4416DD" w14:textId="77777777" w:rsidR="00655858" w:rsidRDefault="00655858" w:rsidP="009A5661">
      <w:r>
        <w:separator/>
      </w:r>
    </w:p>
  </w:footnote>
  <w:footnote w:type="continuationSeparator" w:id="0">
    <w:p w14:paraId="125BEEE2" w14:textId="77777777" w:rsidR="00655858" w:rsidRDefault="00655858" w:rsidP="009A5661">
      <w:r>
        <w:continuationSeparator/>
      </w:r>
    </w:p>
  </w:footnote>
  <w:footnote w:id="1">
    <w:p w14:paraId="1279755A" w14:textId="77777777" w:rsidR="00655858" w:rsidRDefault="00655858" w:rsidP="00FE6B4B">
      <w:pPr>
        <w:pStyle w:val="Lbjegyzetszveg"/>
      </w:pPr>
      <w:r>
        <w:rPr>
          <w:rStyle w:val="Lbjegyzet-hivatkozs"/>
        </w:rPr>
        <w:footnoteRef/>
      </w:r>
      <w:r>
        <w:t xml:space="preserve"> A „Sorkód” oszlop nem a táblában szereplő teljes sorkódot (pl. </w:t>
      </w:r>
      <w:r w:rsidRPr="009A5661">
        <w:t>P_01.01</w:t>
      </w:r>
      <w:r w:rsidRPr="00324FF8">
        <w:t>010</w:t>
      </w:r>
      <w:r>
        <w:t>), hanem annak utolsó 3 karakterét tartalmazza (pl. 010).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10F59"/>
    <w:multiLevelType w:val="hybridMultilevel"/>
    <w:tmpl w:val="7CFE8D7A"/>
    <w:lvl w:ilvl="0" w:tplc="47A6128E">
      <w:start w:val="1"/>
      <w:numFmt w:val="decimal"/>
      <w:pStyle w:val="Baseparagraphnumbered"/>
      <w:lvlText w:val="%1."/>
      <w:lvlJc w:val="left"/>
      <w:pPr>
        <w:ind w:left="785" w:hanging="360"/>
      </w:pPr>
      <w:rPr>
        <w:lang w:val="en-US"/>
      </w:rPr>
    </w:lvl>
    <w:lvl w:ilvl="1" w:tplc="5338004C">
      <w:start w:val="1"/>
      <w:numFmt w:val="lowerLetter"/>
      <w:lvlText w:val="(%2)"/>
      <w:lvlJc w:val="left"/>
      <w:pPr>
        <w:ind w:left="1505" w:hanging="360"/>
      </w:pPr>
      <w:rPr>
        <w:rFonts w:ascii="Times New Roman" w:eastAsia="Times New Roman" w:hAnsi="Times New Roman" w:cs="Times New Roman"/>
      </w:r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 w15:restartNumberingAfterBreak="0">
    <w:nsid w:val="408167CA"/>
    <w:multiLevelType w:val="multilevel"/>
    <w:tmpl w:val="EE782B9A"/>
    <w:lvl w:ilvl="0">
      <w:start w:val="1"/>
      <w:numFmt w:val="lowerLetter"/>
      <w:lvlText w:val="%1)"/>
      <w:lvlJc w:val="left"/>
      <w:pPr>
        <w:tabs>
          <w:tab w:val="num" w:pos="720"/>
        </w:tabs>
        <w:ind w:left="720" w:hanging="720"/>
      </w:pPr>
    </w:lvl>
    <w:lvl w:ilvl="1">
      <w:start w:val="1"/>
      <w:numFmt w:val="decimal"/>
      <w:lvlText w:val="%2."/>
      <w:lvlJc w:val="left"/>
      <w:pPr>
        <w:tabs>
          <w:tab w:val="num" w:pos="1440"/>
        </w:tabs>
        <w:ind w:left="1440" w:hanging="720"/>
      </w:pPr>
      <w:rPr>
        <w:i w:val="0"/>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0F126C6"/>
    <w:multiLevelType w:val="hybridMultilevel"/>
    <w:tmpl w:val="5E8A5B3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418C66E8"/>
    <w:multiLevelType w:val="hybridMultilevel"/>
    <w:tmpl w:val="52562992"/>
    <w:lvl w:ilvl="0" w:tplc="1B88AE36">
      <w:start w:val="1"/>
      <w:numFmt w:val="bullet"/>
      <w:lvlText w:val=""/>
      <w:lvlJc w:val="left"/>
      <w:pPr>
        <w:ind w:left="720" w:hanging="360"/>
      </w:pPr>
      <w:rPr>
        <w:rFonts w:ascii="Symbol" w:hAnsi="Symbol" w:hint="default"/>
        <w:b/>
        <w:color w:val="4BACC6"/>
        <w:sz w:val="24"/>
      </w:rPr>
    </w:lvl>
    <w:lvl w:ilvl="1" w:tplc="1242D2E6">
      <w:start w:val="1"/>
      <w:numFmt w:val="bullet"/>
      <w:lvlText w:val="o"/>
      <w:lvlJc w:val="left"/>
      <w:pPr>
        <w:ind w:left="1440" w:hanging="360"/>
      </w:pPr>
      <w:rPr>
        <w:rFonts w:ascii="Courier New" w:hAnsi="Courier New" w:hint="default"/>
        <w:b/>
        <w:color w:val="4BACC6"/>
        <w:sz w:val="24"/>
      </w:rPr>
    </w:lvl>
    <w:lvl w:ilvl="2" w:tplc="AA782C4A">
      <w:start w:val="1"/>
      <w:numFmt w:val="bullet"/>
      <w:lvlText w:val=""/>
      <w:lvlJc w:val="left"/>
      <w:pPr>
        <w:ind w:left="2160" w:hanging="360"/>
      </w:pPr>
      <w:rPr>
        <w:rFonts w:ascii="Wingdings" w:hAnsi="Wingdings" w:cs="Calibri" w:hint="default"/>
        <w:b/>
        <w:color w:val="4BACC6"/>
        <w:sz w:val="24"/>
      </w:rPr>
    </w:lvl>
    <w:lvl w:ilvl="3" w:tplc="BA9A1B8A">
      <w:start w:val="1"/>
      <w:numFmt w:val="bullet"/>
      <w:lvlText w:val=""/>
      <w:lvlJc w:val="left"/>
      <w:pPr>
        <w:ind w:left="2880" w:hanging="360"/>
      </w:pPr>
      <w:rPr>
        <w:rFonts w:ascii="Symbol" w:hAnsi="Symbol" w:cs="Calibri" w:hint="default"/>
        <w:b/>
        <w:color w:val="4BACC6"/>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 w15:restartNumberingAfterBreak="0">
    <w:nsid w:val="46E92866"/>
    <w:multiLevelType w:val="hybridMultilevel"/>
    <w:tmpl w:val="83F6F702"/>
    <w:lvl w:ilvl="0" w:tplc="CFF203F8">
      <w:start w:val="8"/>
      <w:numFmt w:val="bullet"/>
      <w:lvlText w:val="-"/>
      <w:lvlJc w:val="left"/>
      <w:pPr>
        <w:ind w:left="360" w:hanging="360"/>
      </w:pPr>
      <w:rPr>
        <w:rFonts w:ascii="Calibri" w:eastAsiaTheme="minorHAnsi" w:hAnsi="Calibri" w:cstheme="minorBid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6FC53223"/>
    <w:multiLevelType w:val="hybridMultilevel"/>
    <w:tmpl w:val="EF263A0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72A61574"/>
    <w:multiLevelType w:val="hybridMultilevel"/>
    <w:tmpl w:val="5D66A37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77E85B57"/>
    <w:multiLevelType w:val="hybridMultilevel"/>
    <w:tmpl w:val="E0107274"/>
    <w:lvl w:ilvl="0" w:tplc="B8F63E02">
      <w:start w:val="3"/>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270936136">
    <w:abstractNumId w:val="3"/>
    <w:lvlOverride w:ilvl="0">
      <w:startOverride w:val="1"/>
    </w:lvlOverride>
  </w:num>
  <w:num w:numId="2" w16cid:durableId="1730150955">
    <w:abstractNumId w:val="7"/>
  </w:num>
  <w:num w:numId="3" w16cid:durableId="1917858256">
    <w:abstractNumId w:val="6"/>
  </w:num>
  <w:num w:numId="4" w16cid:durableId="506211262">
    <w:abstractNumId w:val="4"/>
  </w:num>
  <w:num w:numId="5" w16cid:durableId="38863336">
    <w:abstractNumId w:val="0"/>
  </w:num>
  <w:num w:numId="6" w16cid:durableId="1431005225">
    <w:abstractNumId w:val="1"/>
  </w:num>
  <w:num w:numId="7" w16cid:durableId="346952207">
    <w:abstractNumId w:val="0"/>
  </w:num>
  <w:num w:numId="8" w16cid:durableId="226378936">
    <w:abstractNumId w:val="5"/>
  </w:num>
  <w:num w:numId="9" w16cid:durableId="844171074">
    <w:abstractNumId w:val="2"/>
  </w:num>
  <w:num w:numId="10" w16cid:durableId="1282834193">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NB">
    <w15:presenceInfo w15:providerId="None" w15:userId="MN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trackRevisions/>
  <w:defaultTabStop w:val="708"/>
  <w:hyphenationZone w:val="425"/>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22E5"/>
    <w:rsid w:val="00000141"/>
    <w:rsid w:val="00001E83"/>
    <w:rsid w:val="00002238"/>
    <w:rsid w:val="000134F1"/>
    <w:rsid w:val="00015537"/>
    <w:rsid w:val="0001589B"/>
    <w:rsid w:val="00021C5D"/>
    <w:rsid w:val="00023D75"/>
    <w:rsid w:val="0002533E"/>
    <w:rsid w:val="00025EF8"/>
    <w:rsid w:val="0002644F"/>
    <w:rsid w:val="00032509"/>
    <w:rsid w:val="00032563"/>
    <w:rsid w:val="00034FC7"/>
    <w:rsid w:val="00035688"/>
    <w:rsid w:val="00041D7B"/>
    <w:rsid w:val="00041FBB"/>
    <w:rsid w:val="0004200F"/>
    <w:rsid w:val="00043867"/>
    <w:rsid w:val="00047B5A"/>
    <w:rsid w:val="000502B2"/>
    <w:rsid w:val="00050657"/>
    <w:rsid w:val="00052C0E"/>
    <w:rsid w:val="00053964"/>
    <w:rsid w:val="00053CF7"/>
    <w:rsid w:val="00055F76"/>
    <w:rsid w:val="000608A5"/>
    <w:rsid w:val="000676C0"/>
    <w:rsid w:val="000700A5"/>
    <w:rsid w:val="000715EF"/>
    <w:rsid w:val="00075D19"/>
    <w:rsid w:val="000777AE"/>
    <w:rsid w:val="000803BD"/>
    <w:rsid w:val="0008040C"/>
    <w:rsid w:val="0008153E"/>
    <w:rsid w:val="0008485E"/>
    <w:rsid w:val="00084D55"/>
    <w:rsid w:val="0009051D"/>
    <w:rsid w:val="00090FFA"/>
    <w:rsid w:val="000936DB"/>
    <w:rsid w:val="00093DC3"/>
    <w:rsid w:val="0009570C"/>
    <w:rsid w:val="000972EA"/>
    <w:rsid w:val="00097A4F"/>
    <w:rsid w:val="00097CEE"/>
    <w:rsid w:val="000A0DBC"/>
    <w:rsid w:val="000A1D6E"/>
    <w:rsid w:val="000A2582"/>
    <w:rsid w:val="000A43CF"/>
    <w:rsid w:val="000B0CEA"/>
    <w:rsid w:val="000B1CD7"/>
    <w:rsid w:val="000B2264"/>
    <w:rsid w:val="000B2AF4"/>
    <w:rsid w:val="000B33B4"/>
    <w:rsid w:val="000B4917"/>
    <w:rsid w:val="000B4E88"/>
    <w:rsid w:val="000B72D0"/>
    <w:rsid w:val="000B72F7"/>
    <w:rsid w:val="000B7E93"/>
    <w:rsid w:val="000C1980"/>
    <w:rsid w:val="000C3840"/>
    <w:rsid w:val="000C3FA9"/>
    <w:rsid w:val="000C5BD9"/>
    <w:rsid w:val="000C6A51"/>
    <w:rsid w:val="000C7F84"/>
    <w:rsid w:val="000D301B"/>
    <w:rsid w:val="000D4229"/>
    <w:rsid w:val="000D4C16"/>
    <w:rsid w:val="000D5937"/>
    <w:rsid w:val="000E0B7F"/>
    <w:rsid w:val="000E213A"/>
    <w:rsid w:val="000E2733"/>
    <w:rsid w:val="000E2AE3"/>
    <w:rsid w:val="000E32D7"/>
    <w:rsid w:val="000E3FF8"/>
    <w:rsid w:val="000E6C9F"/>
    <w:rsid w:val="000F0D5D"/>
    <w:rsid w:val="000F142D"/>
    <w:rsid w:val="000F14A0"/>
    <w:rsid w:val="000F3C26"/>
    <w:rsid w:val="000F5E90"/>
    <w:rsid w:val="000F7284"/>
    <w:rsid w:val="000F7AD2"/>
    <w:rsid w:val="000F7F9E"/>
    <w:rsid w:val="0010022A"/>
    <w:rsid w:val="00101B75"/>
    <w:rsid w:val="00103A7E"/>
    <w:rsid w:val="00105C64"/>
    <w:rsid w:val="0010789F"/>
    <w:rsid w:val="00110498"/>
    <w:rsid w:val="00110D22"/>
    <w:rsid w:val="0011144A"/>
    <w:rsid w:val="00112B38"/>
    <w:rsid w:val="0011470F"/>
    <w:rsid w:val="00117E95"/>
    <w:rsid w:val="00121155"/>
    <w:rsid w:val="00121160"/>
    <w:rsid w:val="0012161F"/>
    <w:rsid w:val="00121A0C"/>
    <w:rsid w:val="001222E7"/>
    <w:rsid w:val="0012464A"/>
    <w:rsid w:val="00130484"/>
    <w:rsid w:val="00132FBB"/>
    <w:rsid w:val="001459E8"/>
    <w:rsid w:val="00151080"/>
    <w:rsid w:val="0015281D"/>
    <w:rsid w:val="0015450A"/>
    <w:rsid w:val="00156771"/>
    <w:rsid w:val="00156819"/>
    <w:rsid w:val="00156896"/>
    <w:rsid w:val="00160040"/>
    <w:rsid w:val="001610A2"/>
    <w:rsid w:val="001647D6"/>
    <w:rsid w:val="00165CAE"/>
    <w:rsid w:val="001660DA"/>
    <w:rsid w:val="0017109F"/>
    <w:rsid w:val="001738AA"/>
    <w:rsid w:val="00175441"/>
    <w:rsid w:val="00180386"/>
    <w:rsid w:val="00182BC5"/>
    <w:rsid w:val="0018366A"/>
    <w:rsid w:val="00184442"/>
    <w:rsid w:val="001875B2"/>
    <w:rsid w:val="00191212"/>
    <w:rsid w:val="00191B6F"/>
    <w:rsid w:val="00193049"/>
    <w:rsid w:val="0019578C"/>
    <w:rsid w:val="0019658B"/>
    <w:rsid w:val="00196EAE"/>
    <w:rsid w:val="001A114C"/>
    <w:rsid w:val="001A1D40"/>
    <w:rsid w:val="001A298B"/>
    <w:rsid w:val="001A324B"/>
    <w:rsid w:val="001A32BB"/>
    <w:rsid w:val="001A4EF5"/>
    <w:rsid w:val="001A5287"/>
    <w:rsid w:val="001A5C89"/>
    <w:rsid w:val="001A6340"/>
    <w:rsid w:val="001A6B52"/>
    <w:rsid w:val="001A72CB"/>
    <w:rsid w:val="001A7331"/>
    <w:rsid w:val="001B098C"/>
    <w:rsid w:val="001B1350"/>
    <w:rsid w:val="001B14EA"/>
    <w:rsid w:val="001B22F3"/>
    <w:rsid w:val="001B3265"/>
    <w:rsid w:val="001B4CE1"/>
    <w:rsid w:val="001B4FE2"/>
    <w:rsid w:val="001C1659"/>
    <w:rsid w:val="001C2344"/>
    <w:rsid w:val="001C70D2"/>
    <w:rsid w:val="001C77FE"/>
    <w:rsid w:val="001C7C78"/>
    <w:rsid w:val="001D1145"/>
    <w:rsid w:val="001D1377"/>
    <w:rsid w:val="001D1F0F"/>
    <w:rsid w:val="001D6B4F"/>
    <w:rsid w:val="001E0D83"/>
    <w:rsid w:val="001E16F4"/>
    <w:rsid w:val="001E2174"/>
    <w:rsid w:val="001E4A39"/>
    <w:rsid w:val="001E6625"/>
    <w:rsid w:val="001F4074"/>
    <w:rsid w:val="001F497A"/>
    <w:rsid w:val="001F5158"/>
    <w:rsid w:val="001F6840"/>
    <w:rsid w:val="001F7F7E"/>
    <w:rsid w:val="0020187F"/>
    <w:rsid w:val="0020195E"/>
    <w:rsid w:val="00202713"/>
    <w:rsid w:val="00202B1B"/>
    <w:rsid w:val="00203E6A"/>
    <w:rsid w:val="00204631"/>
    <w:rsid w:val="00206D43"/>
    <w:rsid w:val="0020738D"/>
    <w:rsid w:val="002107A9"/>
    <w:rsid w:val="002115D0"/>
    <w:rsid w:val="002115F2"/>
    <w:rsid w:val="0021443B"/>
    <w:rsid w:val="00214E1F"/>
    <w:rsid w:val="00215D4B"/>
    <w:rsid w:val="00220C11"/>
    <w:rsid w:val="0022164F"/>
    <w:rsid w:val="00221CE5"/>
    <w:rsid w:val="00222297"/>
    <w:rsid w:val="002228F5"/>
    <w:rsid w:val="00222D25"/>
    <w:rsid w:val="002238A9"/>
    <w:rsid w:val="00225B54"/>
    <w:rsid w:val="00226C06"/>
    <w:rsid w:val="00226C34"/>
    <w:rsid w:val="00231152"/>
    <w:rsid w:val="00233F1A"/>
    <w:rsid w:val="002347AE"/>
    <w:rsid w:val="00234927"/>
    <w:rsid w:val="00245391"/>
    <w:rsid w:val="00246CFC"/>
    <w:rsid w:val="00247411"/>
    <w:rsid w:val="002475F9"/>
    <w:rsid w:val="00250CD6"/>
    <w:rsid w:val="00251220"/>
    <w:rsid w:val="002550A5"/>
    <w:rsid w:val="00256544"/>
    <w:rsid w:val="00257137"/>
    <w:rsid w:val="00257EE1"/>
    <w:rsid w:val="0026189F"/>
    <w:rsid w:val="00262205"/>
    <w:rsid w:val="0026554B"/>
    <w:rsid w:val="00273024"/>
    <w:rsid w:val="002760F6"/>
    <w:rsid w:val="00277952"/>
    <w:rsid w:val="00277A36"/>
    <w:rsid w:val="00280476"/>
    <w:rsid w:val="002807D2"/>
    <w:rsid w:val="00286904"/>
    <w:rsid w:val="00287B80"/>
    <w:rsid w:val="00290735"/>
    <w:rsid w:val="00292A86"/>
    <w:rsid w:val="00294DF4"/>
    <w:rsid w:val="00297FB8"/>
    <w:rsid w:val="002A0C5A"/>
    <w:rsid w:val="002A18EF"/>
    <w:rsid w:val="002A1F02"/>
    <w:rsid w:val="002A5321"/>
    <w:rsid w:val="002A6B69"/>
    <w:rsid w:val="002A6C9E"/>
    <w:rsid w:val="002B3E7B"/>
    <w:rsid w:val="002B588C"/>
    <w:rsid w:val="002C17E4"/>
    <w:rsid w:val="002C195D"/>
    <w:rsid w:val="002C224E"/>
    <w:rsid w:val="002C23D7"/>
    <w:rsid w:val="002C37C2"/>
    <w:rsid w:val="002C4704"/>
    <w:rsid w:val="002C67CD"/>
    <w:rsid w:val="002C6D04"/>
    <w:rsid w:val="002D06D5"/>
    <w:rsid w:val="002D14FF"/>
    <w:rsid w:val="002D48F8"/>
    <w:rsid w:val="002D4AFD"/>
    <w:rsid w:val="002D58AB"/>
    <w:rsid w:val="002D691F"/>
    <w:rsid w:val="002D6DA8"/>
    <w:rsid w:val="002E168E"/>
    <w:rsid w:val="002E2ADB"/>
    <w:rsid w:val="002E36FF"/>
    <w:rsid w:val="002E3985"/>
    <w:rsid w:val="002F088A"/>
    <w:rsid w:val="002F0BC2"/>
    <w:rsid w:val="002F28C0"/>
    <w:rsid w:val="002F2985"/>
    <w:rsid w:val="002F2AD2"/>
    <w:rsid w:val="002F4A3C"/>
    <w:rsid w:val="002F6624"/>
    <w:rsid w:val="003009A4"/>
    <w:rsid w:val="00304759"/>
    <w:rsid w:val="0031049A"/>
    <w:rsid w:val="003106C9"/>
    <w:rsid w:val="003107B0"/>
    <w:rsid w:val="003134FB"/>
    <w:rsid w:val="00313553"/>
    <w:rsid w:val="0031472C"/>
    <w:rsid w:val="0031714F"/>
    <w:rsid w:val="0032208D"/>
    <w:rsid w:val="00322805"/>
    <w:rsid w:val="00324FF8"/>
    <w:rsid w:val="00326526"/>
    <w:rsid w:val="00326F46"/>
    <w:rsid w:val="003278F3"/>
    <w:rsid w:val="003332C2"/>
    <w:rsid w:val="00337A94"/>
    <w:rsid w:val="00340819"/>
    <w:rsid w:val="00342115"/>
    <w:rsid w:val="00342687"/>
    <w:rsid w:val="00343474"/>
    <w:rsid w:val="00344530"/>
    <w:rsid w:val="00345860"/>
    <w:rsid w:val="003465A1"/>
    <w:rsid w:val="00346CD5"/>
    <w:rsid w:val="003517CD"/>
    <w:rsid w:val="00351FED"/>
    <w:rsid w:val="003525E3"/>
    <w:rsid w:val="00352BD3"/>
    <w:rsid w:val="003563CF"/>
    <w:rsid w:val="003625CC"/>
    <w:rsid w:val="003667DB"/>
    <w:rsid w:val="00370D24"/>
    <w:rsid w:val="00371B73"/>
    <w:rsid w:val="00374329"/>
    <w:rsid w:val="00376BC7"/>
    <w:rsid w:val="003827FB"/>
    <w:rsid w:val="0038323E"/>
    <w:rsid w:val="00385A92"/>
    <w:rsid w:val="00385DAF"/>
    <w:rsid w:val="00387085"/>
    <w:rsid w:val="00387EA5"/>
    <w:rsid w:val="0039040E"/>
    <w:rsid w:val="00391AC4"/>
    <w:rsid w:val="003925BA"/>
    <w:rsid w:val="0039368C"/>
    <w:rsid w:val="00394204"/>
    <w:rsid w:val="00394DE9"/>
    <w:rsid w:val="00394F45"/>
    <w:rsid w:val="00395D87"/>
    <w:rsid w:val="00397A71"/>
    <w:rsid w:val="003A1E5D"/>
    <w:rsid w:val="003A2A67"/>
    <w:rsid w:val="003A5E87"/>
    <w:rsid w:val="003B46FE"/>
    <w:rsid w:val="003B5538"/>
    <w:rsid w:val="003B7AFC"/>
    <w:rsid w:val="003C30F8"/>
    <w:rsid w:val="003C33E1"/>
    <w:rsid w:val="003C3594"/>
    <w:rsid w:val="003C5714"/>
    <w:rsid w:val="003D080C"/>
    <w:rsid w:val="003D29F0"/>
    <w:rsid w:val="003D4B8C"/>
    <w:rsid w:val="003D576C"/>
    <w:rsid w:val="003D5CE0"/>
    <w:rsid w:val="003E3A6E"/>
    <w:rsid w:val="003E4BCD"/>
    <w:rsid w:val="003E72BE"/>
    <w:rsid w:val="003F134D"/>
    <w:rsid w:val="003F2F54"/>
    <w:rsid w:val="003F63D0"/>
    <w:rsid w:val="00400686"/>
    <w:rsid w:val="004019FE"/>
    <w:rsid w:val="00401C12"/>
    <w:rsid w:val="00405A29"/>
    <w:rsid w:val="0041217A"/>
    <w:rsid w:val="004125AF"/>
    <w:rsid w:val="00413862"/>
    <w:rsid w:val="00414B65"/>
    <w:rsid w:val="00415AE8"/>
    <w:rsid w:val="00416F43"/>
    <w:rsid w:val="0041797C"/>
    <w:rsid w:val="004237B0"/>
    <w:rsid w:val="004257AC"/>
    <w:rsid w:val="004316A5"/>
    <w:rsid w:val="00432C2B"/>
    <w:rsid w:val="0043337D"/>
    <w:rsid w:val="004355AA"/>
    <w:rsid w:val="00435A27"/>
    <w:rsid w:val="00435C96"/>
    <w:rsid w:val="00436E31"/>
    <w:rsid w:val="00437444"/>
    <w:rsid w:val="0044024A"/>
    <w:rsid w:val="0044120E"/>
    <w:rsid w:val="00445398"/>
    <w:rsid w:val="00450FEC"/>
    <w:rsid w:val="0045245A"/>
    <w:rsid w:val="00454378"/>
    <w:rsid w:val="004555CF"/>
    <w:rsid w:val="0045580F"/>
    <w:rsid w:val="00455E88"/>
    <w:rsid w:val="004606EE"/>
    <w:rsid w:val="00461491"/>
    <w:rsid w:val="00462811"/>
    <w:rsid w:val="004675E2"/>
    <w:rsid w:val="004715A2"/>
    <w:rsid w:val="0047233B"/>
    <w:rsid w:val="00472403"/>
    <w:rsid w:val="004760E5"/>
    <w:rsid w:val="00480EAD"/>
    <w:rsid w:val="00485785"/>
    <w:rsid w:val="00487BF7"/>
    <w:rsid w:val="00493411"/>
    <w:rsid w:val="00495E57"/>
    <w:rsid w:val="004967B6"/>
    <w:rsid w:val="004A1AEE"/>
    <w:rsid w:val="004A2639"/>
    <w:rsid w:val="004A46EB"/>
    <w:rsid w:val="004A58A6"/>
    <w:rsid w:val="004B0551"/>
    <w:rsid w:val="004B5CB8"/>
    <w:rsid w:val="004B7D88"/>
    <w:rsid w:val="004B7FA4"/>
    <w:rsid w:val="004C78D9"/>
    <w:rsid w:val="004D04B5"/>
    <w:rsid w:val="004D36F3"/>
    <w:rsid w:val="004D4C47"/>
    <w:rsid w:val="004D59A9"/>
    <w:rsid w:val="004D7DE5"/>
    <w:rsid w:val="004E0DE1"/>
    <w:rsid w:val="004E2B22"/>
    <w:rsid w:val="004E402A"/>
    <w:rsid w:val="004E4312"/>
    <w:rsid w:val="004E4475"/>
    <w:rsid w:val="004E469A"/>
    <w:rsid w:val="004E6F1E"/>
    <w:rsid w:val="004E74F2"/>
    <w:rsid w:val="004E79A7"/>
    <w:rsid w:val="004F3BB5"/>
    <w:rsid w:val="004F4262"/>
    <w:rsid w:val="004F5330"/>
    <w:rsid w:val="004F7E79"/>
    <w:rsid w:val="00500C4A"/>
    <w:rsid w:val="00501658"/>
    <w:rsid w:val="00505CF6"/>
    <w:rsid w:val="005062A6"/>
    <w:rsid w:val="00511D9B"/>
    <w:rsid w:val="00512F7B"/>
    <w:rsid w:val="00516233"/>
    <w:rsid w:val="00517DB1"/>
    <w:rsid w:val="00520ACC"/>
    <w:rsid w:val="00521A47"/>
    <w:rsid w:val="00522A7C"/>
    <w:rsid w:val="00524D50"/>
    <w:rsid w:val="0052557D"/>
    <w:rsid w:val="00525E9C"/>
    <w:rsid w:val="00527CF9"/>
    <w:rsid w:val="0053251A"/>
    <w:rsid w:val="00533A66"/>
    <w:rsid w:val="00534340"/>
    <w:rsid w:val="005343D5"/>
    <w:rsid w:val="00535018"/>
    <w:rsid w:val="00536BE9"/>
    <w:rsid w:val="00537C20"/>
    <w:rsid w:val="00541C69"/>
    <w:rsid w:val="005438A9"/>
    <w:rsid w:val="005450BD"/>
    <w:rsid w:val="00545E73"/>
    <w:rsid w:val="005505EA"/>
    <w:rsid w:val="005508C7"/>
    <w:rsid w:val="00550C41"/>
    <w:rsid w:val="00551629"/>
    <w:rsid w:val="0055609E"/>
    <w:rsid w:val="0055615F"/>
    <w:rsid w:val="00556707"/>
    <w:rsid w:val="00557225"/>
    <w:rsid w:val="00560996"/>
    <w:rsid w:val="00560DBC"/>
    <w:rsid w:val="00562324"/>
    <w:rsid w:val="00565F74"/>
    <w:rsid w:val="005722E6"/>
    <w:rsid w:val="0057299A"/>
    <w:rsid w:val="005737DB"/>
    <w:rsid w:val="00573E9A"/>
    <w:rsid w:val="00577406"/>
    <w:rsid w:val="00581A84"/>
    <w:rsid w:val="00583B80"/>
    <w:rsid w:val="00583F07"/>
    <w:rsid w:val="00584808"/>
    <w:rsid w:val="0058661C"/>
    <w:rsid w:val="00586BFC"/>
    <w:rsid w:val="00590958"/>
    <w:rsid w:val="00594A94"/>
    <w:rsid w:val="00595A11"/>
    <w:rsid w:val="005970DF"/>
    <w:rsid w:val="005A02A6"/>
    <w:rsid w:val="005A08E8"/>
    <w:rsid w:val="005A1D26"/>
    <w:rsid w:val="005A2DC3"/>
    <w:rsid w:val="005A3621"/>
    <w:rsid w:val="005A3B3B"/>
    <w:rsid w:val="005A670E"/>
    <w:rsid w:val="005B09B0"/>
    <w:rsid w:val="005B383A"/>
    <w:rsid w:val="005B3B09"/>
    <w:rsid w:val="005C01CF"/>
    <w:rsid w:val="005C19ED"/>
    <w:rsid w:val="005C23DB"/>
    <w:rsid w:val="005C265B"/>
    <w:rsid w:val="005C7A06"/>
    <w:rsid w:val="005D0694"/>
    <w:rsid w:val="005D74EE"/>
    <w:rsid w:val="005E0EC9"/>
    <w:rsid w:val="005E0EEE"/>
    <w:rsid w:val="005E23C5"/>
    <w:rsid w:val="005E293C"/>
    <w:rsid w:val="005E3512"/>
    <w:rsid w:val="005E5262"/>
    <w:rsid w:val="005E532E"/>
    <w:rsid w:val="005E7560"/>
    <w:rsid w:val="005F06D9"/>
    <w:rsid w:val="005F0A82"/>
    <w:rsid w:val="005F2C07"/>
    <w:rsid w:val="005F4F07"/>
    <w:rsid w:val="005F69BF"/>
    <w:rsid w:val="00603B98"/>
    <w:rsid w:val="00605323"/>
    <w:rsid w:val="00606832"/>
    <w:rsid w:val="00611B3C"/>
    <w:rsid w:val="0061587D"/>
    <w:rsid w:val="006159B6"/>
    <w:rsid w:val="00615FD8"/>
    <w:rsid w:val="00616065"/>
    <w:rsid w:val="00616B41"/>
    <w:rsid w:val="00617806"/>
    <w:rsid w:val="0062038C"/>
    <w:rsid w:val="00621E3B"/>
    <w:rsid w:val="00622F7F"/>
    <w:rsid w:val="00623296"/>
    <w:rsid w:val="00624AE3"/>
    <w:rsid w:val="00625E0D"/>
    <w:rsid w:val="00626D57"/>
    <w:rsid w:val="0062780E"/>
    <w:rsid w:val="006332B5"/>
    <w:rsid w:val="00633E57"/>
    <w:rsid w:val="00634364"/>
    <w:rsid w:val="006361E3"/>
    <w:rsid w:val="00637D24"/>
    <w:rsid w:val="00637F34"/>
    <w:rsid w:val="00640154"/>
    <w:rsid w:val="00640236"/>
    <w:rsid w:val="00640F4E"/>
    <w:rsid w:val="0064158A"/>
    <w:rsid w:val="00642983"/>
    <w:rsid w:val="00646E54"/>
    <w:rsid w:val="00651C73"/>
    <w:rsid w:val="006521E4"/>
    <w:rsid w:val="00653415"/>
    <w:rsid w:val="00655858"/>
    <w:rsid w:val="00655A3E"/>
    <w:rsid w:val="00657000"/>
    <w:rsid w:val="0066147C"/>
    <w:rsid w:val="00661706"/>
    <w:rsid w:val="0066344B"/>
    <w:rsid w:val="00663E90"/>
    <w:rsid w:val="00664D31"/>
    <w:rsid w:val="0066713C"/>
    <w:rsid w:val="006708AB"/>
    <w:rsid w:val="006735C4"/>
    <w:rsid w:val="0068264C"/>
    <w:rsid w:val="0068711C"/>
    <w:rsid w:val="00696FD9"/>
    <w:rsid w:val="006A03DE"/>
    <w:rsid w:val="006A22E5"/>
    <w:rsid w:val="006A2305"/>
    <w:rsid w:val="006A26EC"/>
    <w:rsid w:val="006A358C"/>
    <w:rsid w:val="006A4148"/>
    <w:rsid w:val="006A7032"/>
    <w:rsid w:val="006A7956"/>
    <w:rsid w:val="006B0410"/>
    <w:rsid w:val="006B320D"/>
    <w:rsid w:val="006B33D1"/>
    <w:rsid w:val="006B36F4"/>
    <w:rsid w:val="006B4D4A"/>
    <w:rsid w:val="006B5E04"/>
    <w:rsid w:val="006B7145"/>
    <w:rsid w:val="006B7E33"/>
    <w:rsid w:val="006C13DE"/>
    <w:rsid w:val="006C1C0F"/>
    <w:rsid w:val="006C28E5"/>
    <w:rsid w:val="006C3638"/>
    <w:rsid w:val="006C6B72"/>
    <w:rsid w:val="006C709F"/>
    <w:rsid w:val="006C7357"/>
    <w:rsid w:val="006D08AB"/>
    <w:rsid w:val="006D151F"/>
    <w:rsid w:val="006D1883"/>
    <w:rsid w:val="006D2F8F"/>
    <w:rsid w:val="006D37C4"/>
    <w:rsid w:val="006D55E4"/>
    <w:rsid w:val="006D62F0"/>
    <w:rsid w:val="006D6C1B"/>
    <w:rsid w:val="006D70DA"/>
    <w:rsid w:val="006E0178"/>
    <w:rsid w:val="006E162A"/>
    <w:rsid w:val="006E18CD"/>
    <w:rsid w:val="006E27EF"/>
    <w:rsid w:val="006E36ED"/>
    <w:rsid w:val="006E5177"/>
    <w:rsid w:val="006E5D45"/>
    <w:rsid w:val="006E66B4"/>
    <w:rsid w:val="006E7F3E"/>
    <w:rsid w:val="006F01A8"/>
    <w:rsid w:val="006F0845"/>
    <w:rsid w:val="006F46C2"/>
    <w:rsid w:val="006F6F6E"/>
    <w:rsid w:val="006F7D07"/>
    <w:rsid w:val="00700EC3"/>
    <w:rsid w:val="007044F3"/>
    <w:rsid w:val="00705E5F"/>
    <w:rsid w:val="00705F39"/>
    <w:rsid w:val="00710336"/>
    <w:rsid w:val="0071110E"/>
    <w:rsid w:val="007114A6"/>
    <w:rsid w:val="00712D13"/>
    <w:rsid w:val="00714236"/>
    <w:rsid w:val="00716876"/>
    <w:rsid w:val="0072018C"/>
    <w:rsid w:val="0072109E"/>
    <w:rsid w:val="00721D8F"/>
    <w:rsid w:val="00722B4C"/>
    <w:rsid w:val="00725922"/>
    <w:rsid w:val="007259F3"/>
    <w:rsid w:val="0072741D"/>
    <w:rsid w:val="00730A16"/>
    <w:rsid w:val="00735B7D"/>
    <w:rsid w:val="00735F4B"/>
    <w:rsid w:val="00736D7E"/>
    <w:rsid w:val="00741275"/>
    <w:rsid w:val="00741435"/>
    <w:rsid w:val="007427D2"/>
    <w:rsid w:val="007436F0"/>
    <w:rsid w:val="007464EF"/>
    <w:rsid w:val="007475F9"/>
    <w:rsid w:val="00747CAA"/>
    <w:rsid w:val="007525C7"/>
    <w:rsid w:val="00753C4F"/>
    <w:rsid w:val="00755012"/>
    <w:rsid w:val="00755CAE"/>
    <w:rsid w:val="00757604"/>
    <w:rsid w:val="007579E8"/>
    <w:rsid w:val="00762946"/>
    <w:rsid w:val="00770577"/>
    <w:rsid w:val="00773C53"/>
    <w:rsid w:val="0077417E"/>
    <w:rsid w:val="00775310"/>
    <w:rsid w:val="00775578"/>
    <w:rsid w:val="00776B40"/>
    <w:rsid w:val="00776CDA"/>
    <w:rsid w:val="00776D94"/>
    <w:rsid w:val="007833C5"/>
    <w:rsid w:val="007839EF"/>
    <w:rsid w:val="007854C0"/>
    <w:rsid w:val="0078633D"/>
    <w:rsid w:val="00786594"/>
    <w:rsid w:val="00793A6F"/>
    <w:rsid w:val="00793EC6"/>
    <w:rsid w:val="00796EE6"/>
    <w:rsid w:val="007A01B1"/>
    <w:rsid w:val="007A2B76"/>
    <w:rsid w:val="007A2BC5"/>
    <w:rsid w:val="007A3659"/>
    <w:rsid w:val="007B08F7"/>
    <w:rsid w:val="007B0C1C"/>
    <w:rsid w:val="007B4109"/>
    <w:rsid w:val="007B4234"/>
    <w:rsid w:val="007B4310"/>
    <w:rsid w:val="007B74A1"/>
    <w:rsid w:val="007B761C"/>
    <w:rsid w:val="007C0883"/>
    <w:rsid w:val="007C152F"/>
    <w:rsid w:val="007C3571"/>
    <w:rsid w:val="007C4E83"/>
    <w:rsid w:val="007D19D7"/>
    <w:rsid w:val="007D42F0"/>
    <w:rsid w:val="007D49D1"/>
    <w:rsid w:val="007D7E5D"/>
    <w:rsid w:val="007E1C84"/>
    <w:rsid w:val="007E5EF5"/>
    <w:rsid w:val="007E6C4E"/>
    <w:rsid w:val="007F1951"/>
    <w:rsid w:val="007F228C"/>
    <w:rsid w:val="007F41D7"/>
    <w:rsid w:val="007F52B5"/>
    <w:rsid w:val="007F732A"/>
    <w:rsid w:val="0080031C"/>
    <w:rsid w:val="00803CAF"/>
    <w:rsid w:val="008040B5"/>
    <w:rsid w:val="008054C5"/>
    <w:rsid w:val="008057F5"/>
    <w:rsid w:val="00811EC6"/>
    <w:rsid w:val="00817654"/>
    <w:rsid w:val="00817D2F"/>
    <w:rsid w:val="00817FDA"/>
    <w:rsid w:val="00820BA4"/>
    <w:rsid w:val="008237E0"/>
    <w:rsid w:val="00825693"/>
    <w:rsid w:val="00830A17"/>
    <w:rsid w:val="0083399C"/>
    <w:rsid w:val="00833ADF"/>
    <w:rsid w:val="00833C68"/>
    <w:rsid w:val="0083402E"/>
    <w:rsid w:val="0083596C"/>
    <w:rsid w:val="00835EFC"/>
    <w:rsid w:val="0083773B"/>
    <w:rsid w:val="00837C5D"/>
    <w:rsid w:val="00840FEE"/>
    <w:rsid w:val="00843AB4"/>
    <w:rsid w:val="008451E8"/>
    <w:rsid w:val="008461DF"/>
    <w:rsid w:val="00847D57"/>
    <w:rsid w:val="00847F08"/>
    <w:rsid w:val="0085114E"/>
    <w:rsid w:val="008511C5"/>
    <w:rsid w:val="00853806"/>
    <w:rsid w:val="008538D1"/>
    <w:rsid w:val="00857983"/>
    <w:rsid w:val="00862912"/>
    <w:rsid w:val="00863C6D"/>
    <w:rsid w:val="00866202"/>
    <w:rsid w:val="00866530"/>
    <w:rsid w:val="0087045B"/>
    <w:rsid w:val="008722E2"/>
    <w:rsid w:val="008741EB"/>
    <w:rsid w:val="00876C51"/>
    <w:rsid w:val="00876DC8"/>
    <w:rsid w:val="0088241A"/>
    <w:rsid w:val="00883E29"/>
    <w:rsid w:val="0088513E"/>
    <w:rsid w:val="008862B7"/>
    <w:rsid w:val="00887353"/>
    <w:rsid w:val="0089254F"/>
    <w:rsid w:val="0089305C"/>
    <w:rsid w:val="008937F7"/>
    <w:rsid w:val="008974C0"/>
    <w:rsid w:val="008A22F4"/>
    <w:rsid w:val="008A3D22"/>
    <w:rsid w:val="008A5245"/>
    <w:rsid w:val="008B4F40"/>
    <w:rsid w:val="008B5453"/>
    <w:rsid w:val="008B5DA0"/>
    <w:rsid w:val="008B61A2"/>
    <w:rsid w:val="008B6DAB"/>
    <w:rsid w:val="008B736F"/>
    <w:rsid w:val="008C28C2"/>
    <w:rsid w:val="008C2963"/>
    <w:rsid w:val="008C3856"/>
    <w:rsid w:val="008C61E8"/>
    <w:rsid w:val="008C66BA"/>
    <w:rsid w:val="008D0480"/>
    <w:rsid w:val="008D09B0"/>
    <w:rsid w:val="008D0BFA"/>
    <w:rsid w:val="008D2D91"/>
    <w:rsid w:val="008E037B"/>
    <w:rsid w:val="008E3A5A"/>
    <w:rsid w:val="008E4DD1"/>
    <w:rsid w:val="008E74D6"/>
    <w:rsid w:val="008E7A61"/>
    <w:rsid w:val="008F4673"/>
    <w:rsid w:val="008F786E"/>
    <w:rsid w:val="0090139C"/>
    <w:rsid w:val="00901BBE"/>
    <w:rsid w:val="00901EC9"/>
    <w:rsid w:val="00902735"/>
    <w:rsid w:val="00903A84"/>
    <w:rsid w:val="00904906"/>
    <w:rsid w:val="009075E4"/>
    <w:rsid w:val="00910346"/>
    <w:rsid w:val="00912451"/>
    <w:rsid w:val="00913CBB"/>
    <w:rsid w:val="00914175"/>
    <w:rsid w:val="0091468E"/>
    <w:rsid w:val="00914ABE"/>
    <w:rsid w:val="00916728"/>
    <w:rsid w:val="009203E2"/>
    <w:rsid w:val="00925A4D"/>
    <w:rsid w:val="0092771C"/>
    <w:rsid w:val="00930335"/>
    <w:rsid w:val="009312F2"/>
    <w:rsid w:val="00931E19"/>
    <w:rsid w:val="009343FE"/>
    <w:rsid w:val="00934AEB"/>
    <w:rsid w:val="00941361"/>
    <w:rsid w:val="00944883"/>
    <w:rsid w:val="00944A5B"/>
    <w:rsid w:val="00945356"/>
    <w:rsid w:val="00947CBA"/>
    <w:rsid w:val="00955D51"/>
    <w:rsid w:val="0095762B"/>
    <w:rsid w:val="00957CD8"/>
    <w:rsid w:val="00960BA9"/>
    <w:rsid w:val="0096203C"/>
    <w:rsid w:val="00962D41"/>
    <w:rsid w:val="009635FD"/>
    <w:rsid w:val="00964043"/>
    <w:rsid w:val="009640BF"/>
    <w:rsid w:val="009647BB"/>
    <w:rsid w:val="009672EA"/>
    <w:rsid w:val="00975916"/>
    <w:rsid w:val="00977420"/>
    <w:rsid w:val="00977B7A"/>
    <w:rsid w:val="00980B90"/>
    <w:rsid w:val="0098615D"/>
    <w:rsid w:val="00986EAC"/>
    <w:rsid w:val="00987B7C"/>
    <w:rsid w:val="00987C97"/>
    <w:rsid w:val="009909CB"/>
    <w:rsid w:val="00990F77"/>
    <w:rsid w:val="00992D22"/>
    <w:rsid w:val="00994687"/>
    <w:rsid w:val="00994A73"/>
    <w:rsid w:val="009A16D9"/>
    <w:rsid w:val="009A5661"/>
    <w:rsid w:val="009A6004"/>
    <w:rsid w:val="009A67E9"/>
    <w:rsid w:val="009A6D05"/>
    <w:rsid w:val="009B1E85"/>
    <w:rsid w:val="009B1F6C"/>
    <w:rsid w:val="009B35A4"/>
    <w:rsid w:val="009B44A8"/>
    <w:rsid w:val="009B7D59"/>
    <w:rsid w:val="009C456E"/>
    <w:rsid w:val="009C75CD"/>
    <w:rsid w:val="009D0912"/>
    <w:rsid w:val="009D12FB"/>
    <w:rsid w:val="009D20EA"/>
    <w:rsid w:val="009D2940"/>
    <w:rsid w:val="009D58FD"/>
    <w:rsid w:val="009D6E6F"/>
    <w:rsid w:val="009D7409"/>
    <w:rsid w:val="009E11EF"/>
    <w:rsid w:val="009E227F"/>
    <w:rsid w:val="009E5CD9"/>
    <w:rsid w:val="009F156A"/>
    <w:rsid w:val="009F40D9"/>
    <w:rsid w:val="009F56F5"/>
    <w:rsid w:val="00A01E67"/>
    <w:rsid w:val="00A06BCE"/>
    <w:rsid w:val="00A06DFC"/>
    <w:rsid w:val="00A10522"/>
    <w:rsid w:val="00A17F11"/>
    <w:rsid w:val="00A21183"/>
    <w:rsid w:val="00A248D1"/>
    <w:rsid w:val="00A30136"/>
    <w:rsid w:val="00A3144C"/>
    <w:rsid w:val="00A31C30"/>
    <w:rsid w:val="00A3520D"/>
    <w:rsid w:val="00A3727A"/>
    <w:rsid w:val="00A377C0"/>
    <w:rsid w:val="00A410BE"/>
    <w:rsid w:val="00A428A2"/>
    <w:rsid w:val="00A46320"/>
    <w:rsid w:val="00A50EA7"/>
    <w:rsid w:val="00A5186E"/>
    <w:rsid w:val="00A53C2E"/>
    <w:rsid w:val="00A60B10"/>
    <w:rsid w:val="00A62419"/>
    <w:rsid w:val="00A63481"/>
    <w:rsid w:val="00A65B07"/>
    <w:rsid w:val="00A66214"/>
    <w:rsid w:val="00A720D4"/>
    <w:rsid w:val="00A72D10"/>
    <w:rsid w:val="00A737F0"/>
    <w:rsid w:val="00A74EC2"/>
    <w:rsid w:val="00A75269"/>
    <w:rsid w:val="00A763E0"/>
    <w:rsid w:val="00A76666"/>
    <w:rsid w:val="00A76AAD"/>
    <w:rsid w:val="00A834C8"/>
    <w:rsid w:val="00A840EF"/>
    <w:rsid w:val="00A84D5D"/>
    <w:rsid w:val="00A85E5F"/>
    <w:rsid w:val="00A867AA"/>
    <w:rsid w:val="00A867F8"/>
    <w:rsid w:val="00A86D31"/>
    <w:rsid w:val="00A87674"/>
    <w:rsid w:val="00A87AAA"/>
    <w:rsid w:val="00A87F50"/>
    <w:rsid w:val="00A90769"/>
    <w:rsid w:val="00A913CA"/>
    <w:rsid w:val="00A95CEA"/>
    <w:rsid w:val="00AA05E8"/>
    <w:rsid w:val="00AA085D"/>
    <w:rsid w:val="00AA1040"/>
    <w:rsid w:val="00AA49E0"/>
    <w:rsid w:val="00AA4DB4"/>
    <w:rsid w:val="00AB5253"/>
    <w:rsid w:val="00AC1AB1"/>
    <w:rsid w:val="00AC28EE"/>
    <w:rsid w:val="00AC4507"/>
    <w:rsid w:val="00AC4B7A"/>
    <w:rsid w:val="00AC4BF4"/>
    <w:rsid w:val="00AC5BAF"/>
    <w:rsid w:val="00AC5F74"/>
    <w:rsid w:val="00AC65EB"/>
    <w:rsid w:val="00AD1E3F"/>
    <w:rsid w:val="00AD2109"/>
    <w:rsid w:val="00AD2476"/>
    <w:rsid w:val="00AE1C22"/>
    <w:rsid w:val="00AE27B2"/>
    <w:rsid w:val="00AE64EA"/>
    <w:rsid w:val="00AF1F24"/>
    <w:rsid w:val="00AF3C0A"/>
    <w:rsid w:val="00AF447C"/>
    <w:rsid w:val="00B00A6B"/>
    <w:rsid w:val="00B02133"/>
    <w:rsid w:val="00B06DE0"/>
    <w:rsid w:val="00B1130C"/>
    <w:rsid w:val="00B11E4B"/>
    <w:rsid w:val="00B143E0"/>
    <w:rsid w:val="00B14F70"/>
    <w:rsid w:val="00B15CCE"/>
    <w:rsid w:val="00B17D61"/>
    <w:rsid w:val="00B21608"/>
    <w:rsid w:val="00B21E7C"/>
    <w:rsid w:val="00B22226"/>
    <w:rsid w:val="00B238B4"/>
    <w:rsid w:val="00B24A79"/>
    <w:rsid w:val="00B24EDD"/>
    <w:rsid w:val="00B2610A"/>
    <w:rsid w:val="00B26585"/>
    <w:rsid w:val="00B30258"/>
    <w:rsid w:val="00B308EB"/>
    <w:rsid w:val="00B31404"/>
    <w:rsid w:val="00B326EA"/>
    <w:rsid w:val="00B35BC7"/>
    <w:rsid w:val="00B36A9C"/>
    <w:rsid w:val="00B372D4"/>
    <w:rsid w:val="00B4022D"/>
    <w:rsid w:val="00B405E0"/>
    <w:rsid w:val="00B43996"/>
    <w:rsid w:val="00B43A4E"/>
    <w:rsid w:val="00B44891"/>
    <w:rsid w:val="00B44ED7"/>
    <w:rsid w:val="00B4557E"/>
    <w:rsid w:val="00B47E6F"/>
    <w:rsid w:val="00B47F6E"/>
    <w:rsid w:val="00B5129B"/>
    <w:rsid w:val="00B51DCD"/>
    <w:rsid w:val="00B52AB6"/>
    <w:rsid w:val="00B610CE"/>
    <w:rsid w:val="00B61340"/>
    <w:rsid w:val="00B61DA0"/>
    <w:rsid w:val="00B6300C"/>
    <w:rsid w:val="00B6350F"/>
    <w:rsid w:val="00B64394"/>
    <w:rsid w:val="00B64769"/>
    <w:rsid w:val="00B64B82"/>
    <w:rsid w:val="00B66FBE"/>
    <w:rsid w:val="00B72212"/>
    <w:rsid w:val="00B7684D"/>
    <w:rsid w:val="00B771E2"/>
    <w:rsid w:val="00B8107D"/>
    <w:rsid w:val="00B81C30"/>
    <w:rsid w:val="00B81C6A"/>
    <w:rsid w:val="00B81EA6"/>
    <w:rsid w:val="00B854F9"/>
    <w:rsid w:val="00B857E2"/>
    <w:rsid w:val="00B904A6"/>
    <w:rsid w:val="00BA0979"/>
    <w:rsid w:val="00BA4461"/>
    <w:rsid w:val="00BA679A"/>
    <w:rsid w:val="00BA769C"/>
    <w:rsid w:val="00BB660F"/>
    <w:rsid w:val="00BB6C72"/>
    <w:rsid w:val="00BB76A9"/>
    <w:rsid w:val="00BC029C"/>
    <w:rsid w:val="00BC0DC1"/>
    <w:rsid w:val="00BC0E62"/>
    <w:rsid w:val="00BC478C"/>
    <w:rsid w:val="00BC6C44"/>
    <w:rsid w:val="00BC7439"/>
    <w:rsid w:val="00BD02B0"/>
    <w:rsid w:val="00BD06A2"/>
    <w:rsid w:val="00BD129E"/>
    <w:rsid w:val="00BD1556"/>
    <w:rsid w:val="00BD36B7"/>
    <w:rsid w:val="00BD5E06"/>
    <w:rsid w:val="00BE0124"/>
    <w:rsid w:val="00BE17C4"/>
    <w:rsid w:val="00BF0E35"/>
    <w:rsid w:val="00BF172B"/>
    <w:rsid w:val="00BF6F27"/>
    <w:rsid w:val="00C04D22"/>
    <w:rsid w:val="00C051EC"/>
    <w:rsid w:val="00C05F7A"/>
    <w:rsid w:val="00C07C1B"/>
    <w:rsid w:val="00C10B6A"/>
    <w:rsid w:val="00C10D85"/>
    <w:rsid w:val="00C129B1"/>
    <w:rsid w:val="00C13DA0"/>
    <w:rsid w:val="00C1436D"/>
    <w:rsid w:val="00C147C0"/>
    <w:rsid w:val="00C14A6D"/>
    <w:rsid w:val="00C23F53"/>
    <w:rsid w:val="00C248F3"/>
    <w:rsid w:val="00C27C08"/>
    <w:rsid w:val="00C3034F"/>
    <w:rsid w:val="00C32C17"/>
    <w:rsid w:val="00C33B84"/>
    <w:rsid w:val="00C34331"/>
    <w:rsid w:val="00C351C2"/>
    <w:rsid w:val="00C358C4"/>
    <w:rsid w:val="00C3692E"/>
    <w:rsid w:val="00C40EB7"/>
    <w:rsid w:val="00C41352"/>
    <w:rsid w:val="00C4135B"/>
    <w:rsid w:val="00C41946"/>
    <w:rsid w:val="00C4226F"/>
    <w:rsid w:val="00C43CE3"/>
    <w:rsid w:val="00C44409"/>
    <w:rsid w:val="00C45EAC"/>
    <w:rsid w:val="00C46C40"/>
    <w:rsid w:val="00C534A9"/>
    <w:rsid w:val="00C5350D"/>
    <w:rsid w:val="00C6209F"/>
    <w:rsid w:val="00C62C9B"/>
    <w:rsid w:val="00C630FE"/>
    <w:rsid w:val="00C7100A"/>
    <w:rsid w:val="00C7564E"/>
    <w:rsid w:val="00C75D37"/>
    <w:rsid w:val="00C80C39"/>
    <w:rsid w:val="00C813F8"/>
    <w:rsid w:val="00C817C8"/>
    <w:rsid w:val="00C83140"/>
    <w:rsid w:val="00C852A6"/>
    <w:rsid w:val="00C92953"/>
    <w:rsid w:val="00C94556"/>
    <w:rsid w:val="00C95402"/>
    <w:rsid w:val="00C95F08"/>
    <w:rsid w:val="00C96252"/>
    <w:rsid w:val="00C96F4C"/>
    <w:rsid w:val="00C97A3B"/>
    <w:rsid w:val="00CA06E3"/>
    <w:rsid w:val="00CA0744"/>
    <w:rsid w:val="00CA25FB"/>
    <w:rsid w:val="00CA34DF"/>
    <w:rsid w:val="00CB0BEE"/>
    <w:rsid w:val="00CB39A6"/>
    <w:rsid w:val="00CB46CD"/>
    <w:rsid w:val="00CB54A6"/>
    <w:rsid w:val="00CC174F"/>
    <w:rsid w:val="00CC2D09"/>
    <w:rsid w:val="00CC5150"/>
    <w:rsid w:val="00CC5198"/>
    <w:rsid w:val="00CC6754"/>
    <w:rsid w:val="00CC6B33"/>
    <w:rsid w:val="00CC6EFF"/>
    <w:rsid w:val="00CC769B"/>
    <w:rsid w:val="00CC7E39"/>
    <w:rsid w:val="00CD04F4"/>
    <w:rsid w:val="00CD171E"/>
    <w:rsid w:val="00CD286B"/>
    <w:rsid w:val="00CD3C80"/>
    <w:rsid w:val="00CD7A9A"/>
    <w:rsid w:val="00CE0881"/>
    <w:rsid w:val="00CE1C46"/>
    <w:rsid w:val="00CE2562"/>
    <w:rsid w:val="00CE58AE"/>
    <w:rsid w:val="00CE67EB"/>
    <w:rsid w:val="00CE7C29"/>
    <w:rsid w:val="00CF17EC"/>
    <w:rsid w:val="00CF3D47"/>
    <w:rsid w:val="00CF44F8"/>
    <w:rsid w:val="00CF4AF5"/>
    <w:rsid w:val="00CF5CF8"/>
    <w:rsid w:val="00CF6CB7"/>
    <w:rsid w:val="00D00B9E"/>
    <w:rsid w:val="00D00F8E"/>
    <w:rsid w:val="00D040DE"/>
    <w:rsid w:val="00D13248"/>
    <w:rsid w:val="00D13996"/>
    <w:rsid w:val="00D13EFB"/>
    <w:rsid w:val="00D16669"/>
    <w:rsid w:val="00D170AA"/>
    <w:rsid w:val="00D17383"/>
    <w:rsid w:val="00D20698"/>
    <w:rsid w:val="00D22CA0"/>
    <w:rsid w:val="00D23413"/>
    <w:rsid w:val="00D25814"/>
    <w:rsid w:val="00D2613E"/>
    <w:rsid w:val="00D26529"/>
    <w:rsid w:val="00D273CE"/>
    <w:rsid w:val="00D31448"/>
    <w:rsid w:val="00D33949"/>
    <w:rsid w:val="00D339ED"/>
    <w:rsid w:val="00D355A2"/>
    <w:rsid w:val="00D3750E"/>
    <w:rsid w:val="00D376AB"/>
    <w:rsid w:val="00D4037E"/>
    <w:rsid w:val="00D41B34"/>
    <w:rsid w:val="00D44D2B"/>
    <w:rsid w:val="00D45A81"/>
    <w:rsid w:val="00D45D80"/>
    <w:rsid w:val="00D475AB"/>
    <w:rsid w:val="00D561AF"/>
    <w:rsid w:val="00D577FA"/>
    <w:rsid w:val="00D57913"/>
    <w:rsid w:val="00D57B65"/>
    <w:rsid w:val="00D6315D"/>
    <w:rsid w:val="00D6345F"/>
    <w:rsid w:val="00D65ED1"/>
    <w:rsid w:val="00D700B6"/>
    <w:rsid w:val="00D73C74"/>
    <w:rsid w:val="00D80B60"/>
    <w:rsid w:val="00D8171D"/>
    <w:rsid w:val="00D8417C"/>
    <w:rsid w:val="00D862C5"/>
    <w:rsid w:val="00D8657C"/>
    <w:rsid w:val="00D913BB"/>
    <w:rsid w:val="00D9599B"/>
    <w:rsid w:val="00D95E66"/>
    <w:rsid w:val="00D963F4"/>
    <w:rsid w:val="00DA1651"/>
    <w:rsid w:val="00DA2854"/>
    <w:rsid w:val="00DA2BE7"/>
    <w:rsid w:val="00DA3EAF"/>
    <w:rsid w:val="00DA7764"/>
    <w:rsid w:val="00DB50BD"/>
    <w:rsid w:val="00DB64E8"/>
    <w:rsid w:val="00DB6684"/>
    <w:rsid w:val="00DC0A5A"/>
    <w:rsid w:val="00DC27BD"/>
    <w:rsid w:val="00DC313D"/>
    <w:rsid w:val="00DC4481"/>
    <w:rsid w:val="00DC552E"/>
    <w:rsid w:val="00DC67A5"/>
    <w:rsid w:val="00DC6CF8"/>
    <w:rsid w:val="00DD225B"/>
    <w:rsid w:val="00DD2A36"/>
    <w:rsid w:val="00DD4615"/>
    <w:rsid w:val="00DD4EB9"/>
    <w:rsid w:val="00DE100E"/>
    <w:rsid w:val="00DF1752"/>
    <w:rsid w:val="00DF1A6B"/>
    <w:rsid w:val="00DF5CDF"/>
    <w:rsid w:val="00DF73F4"/>
    <w:rsid w:val="00DF77EF"/>
    <w:rsid w:val="00E00519"/>
    <w:rsid w:val="00E00530"/>
    <w:rsid w:val="00E00541"/>
    <w:rsid w:val="00E00A92"/>
    <w:rsid w:val="00E017D4"/>
    <w:rsid w:val="00E0230B"/>
    <w:rsid w:val="00E02549"/>
    <w:rsid w:val="00E044D1"/>
    <w:rsid w:val="00E06E56"/>
    <w:rsid w:val="00E074BA"/>
    <w:rsid w:val="00E07A9E"/>
    <w:rsid w:val="00E10691"/>
    <w:rsid w:val="00E10BFB"/>
    <w:rsid w:val="00E11D52"/>
    <w:rsid w:val="00E12BB3"/>
    <w:rsid w:val="00E15BE4"/>
    <w:rsid w:val="00E23702"/>
    <w:rsid w:val="00E2401D"/>
    <w:rsid w:val="00E26DCB"/>
    <w:rsid w:val="00E27623"/>
    <w:rsid w:val="00E27CD6"/>
    <w:rsid w:val="00E30ED0"/>
    <w:rsid w:val="00E31B23"/>
    <w:rsid w:val="00E33275"/>
    <w:rsid w:val="00E3378D"/>
    <w:rsid w:val="00E33B79"/>
    <w:rsid w:val="00E36DB5"/>
    <w:rsid w:val="00E36DDB"/>
    <w:rsid w:val="00E37EE4"/>
    <w:rsid w:val="00E43E37"/>
    <w:rsid w:val="00E47A1B"/>
    <w:rsid w:val="00E47B12"/>
    <w:rsid w:val="00E51112"/>
    <w:rsid w:val="00E52EFA"/>
    <w:rsid w:val="00E549FF"/>
    <w:rsid w:val="00E61273"/>
    <w:rsid w:val="00E64426"/>
    <w:rsid w:val="00E67212"/>
    <w:rsid w:val="00E67486"/>
    <w:rsid w:val="00E71338"/>
    <w:rsid w:val="00E71DD9"/>
    <w:rsid w:val="00E72A2B"/>
    <w:rsid w:val="00E72A83"/>
    <w:rsid w:val="00E74738"/>
    <w:rsid w:val="00E752CE"/>
    <w:rsid w:val="00E75CA7"/>
    <w:rsid w:val="00E7631B"/>
    <w:rsid w:val="00E77C64"/>
    <w:rsid w:val="00E81C51"/>
    <w:rsid w:val="00E824AC"/>
    <w:rsid w:val="00E84102"/>
    <w:rsid w:val="00E84784"/>
    <w:rsid w:val="00E85B5E"/>
    <w:rsid w:val="00E86A0D"/>
    <w:rsid w:val="00E870EC"/>
    <w:rsid w:val="00E872C5"/>
    <w:rsid w:val="00E914E6"/>
    <w:rsid w:val="00E92DEC"/>
    <w:rsid w:val="00E94547"/>
    <w:rsid w:val="00E94F51"/>
    <w:rsid w:val="00EA0141"/>
    <w:rsid w:val="00EA325C"/>
    <w:rsid w:val="00EA4557"/>
    <w:rsid w:val="00EA4B6C"/>
    <w:rsid w:val="00EB1C4B"/>
    <w:rsid w:val="00EB364B"/>
    <w:rsid w:val="00EB5975"/>
    <w:rsid w:val="00EC196F"/>
    <w:rsid w:val="00EC1C46"/>
    <w:rsid w:val="00EC2E83"/>
    <w:rsid w:val="00EC5039"/>
    <w:rsid w:val="00ED0337"/>
    <w:rsid w:val="00ED063A"/>
    <w:rsid w:val="00ED0B16"/>
    <w:rsid w:val="00ED0ED8"/>
    <w:rsid w:val="00ED11DE"/>
    <w:rsid w:val="00ED2630"/>
    <w:rsid w:val="00ED3820"/>
    <w:rsid w:val="00ED6632"/>
    <w:rsid w:val="00EE2C64"/>
    <w:rsid w:val="00EE5DE8"/>
    <w:rsid w:val="00EE6CD1"/>
    <w:rsid w:val="00F0175C"/>
    <w:rsid w:val="00F02B02"/>
    <w:rsid w:val="00F02D78"/>
    <w:rsid w:val="00F0666B"/>
    <w:rsid w:val="00F0750B"/>
    <w:rsid w:val="00F16382"/>
    <w:rsid w:val="00F16950"/>
    <w:rsid w:val="00F200D0"/>
    <w:rsid w:val="00F20C9A"/>
    <w:rsid w:val="00F251A6"/>
    <w:rsid w:val="00F26A6C"/>
    <w:rsid w:val="00F30F17"/>
    <w:rsid w:val="00F35054"/>
    <w:rsid w:val="00F43C1E"/>
    <w:rsid w:val="00F50499"/>
    <w:rsid w:val="00F53578"/>
    <w:rsid w:val="00F543A0"/>
    <w:rsid w:val="00F54AC4"/>
    <w:rsid w:val="00F57027"/>
    <w:rsid w:val="00F604CD"/>
    <w:rsid w:val="00F62C13"/>
    <w:rsid w:val="00F71FAF"/>
    <w:rsid w:val="00F757E2"/>
    <w:rsid w:val="00F76B38"/>
    <w:rsid w:val="00F76C5A"/>
    <w:rsid w:val="00F808E9"/>
    <w:rsid w:val="00F840B8"/>
    <w:rsid w:val="00F84A25"/>
    <w:rsid w:val="00F86B23"/>
    <w:rsid w:val="00F9044B"/>
    <w:rsid w:val="00F90FD5"/>
    <w:rsid w:val="00F92CF9"/>
    <w:rsid w:val="00F93396"/>
    <w:rsid w:val="00FA387C"/>
    <w:rsid w:val="00FA3E98"/>
    <w:rsid w:val="00FA7847"/>
    <w:rsid w:val="00FB13A8"/>
    <w:rsid w:val="00FB17BB"/>
    <w:rsid w:val="00FB2CCF"/>
    <w:rsid w:val="00FB4818"/>
    <w:rsid w:val="00FB5D18"/>
    <w:rsid w:val="00FB69DF"/>
    <w:rsid w:val="00FB706D"/>
    <w:rsid w:val="00FB7CDC"/>
    <w:rsid w:val="00FC47FF"/>
    <w:rsid w:val="00FC4DCB"/>
    <w:rsid w:val="00FC5BD8"/>
    <w:rsid w:val="00FC652C"/>
    <w:rsid w:val="00FC677E"/>
    <w:rsid w:val="00FC6964"/>
    <w:rsid w:val="00FC7138"/>
    <w:rsid w:val="00FD042A"/>
    <w:rsid w:val="00FD1E1A"/>
    <w:rsid w:val="00FD2976"/>
    <w:rsid w:val="00FD2EEF"/>
    <w:rsid w:val="00FD48FB"/>
    <w:rsid w:val="00FE09C8"/>
    <w:rsid w:val="00FE2AF4"/>
    <w:rsid w:val="00FE38A5"/>
    <w:rsid w:val="00FE420A"/>
    <w:rsid w:val="00FE6409"/>
    <w:rsid w:val="00FE6B4B"/>
    <w:rsid w:val="00FF1640"/>
    <w:rsid w:val="00FF1DDD"/>
    <w:rsid w:val="00FF4831"/>
    <w:rsid w:val="00FF5B54"/>
    <w:rsid w:val="00FF5BB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14:docId w14:val="3700099A"/>
  <w15:chartTrackingRefBased/>
  <w15:docId w15:val="{B1AB6A7E-C256-45A7-AC28-46063097B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376BC7"/>
    <w:rPr>
      <w:rFonts w:ascii="Times New Roman" w:hAnsi="Times New Roman"/>
      <w:sz w:val="24"/>
      <w:szCs w:val="24"/>
    </w:rPr>
  </w:style>
  <w:style w:type="paragraph" w:styleId="Cmsor1">
    <w:name w:val="heading 1"/>
    <w:basedOn w:val="Norml"/>
    <w:next w:val="Norml"/>
    <w:link w:val="Cmsor1Char"/>
    <w:qFormat/>
    <w:rsid w:val="00376BC7"/>
    <w:pPr>
      <w:keepNext/>
      <w:spacing w:after="60"/>
      <w:ind w:firstLine="284"/>
      <w:jc w:val="center"/>
      <w:outlineLvl w:val="0"/>
    </w:pPr>
    <w:rPr>
      <w:rFonts w:eastAsia="Times New Roman"/>
      <w:bCs/>
      <w:i/>
      <w:iCs/>
      <w:snapToGrid w:val="0"/>
      <w:color w:val="000000"/>
      <w:sz w:val="20"/>
      <w:szCs w:val="20"/>
      <w:lang w:val="x-none"/>
    </w:rPr>
  </w:style>
  <w:style w:type="paragraph" w:styleId="Cmsor2">
    <w:name w:val="heading 2"/>
    <w:basedOn w:val="Norml"/>
    <w:next w:val="Norml"/>
    <w:link w:val="Cmsor2Char"/>
    <w:qFormat/>
    <w:rsid w:val="00376BC7"/>
    <w:pPr>
      <w:keepNext/>
      <w:spacing w:after="60"/>
      <w:ind w:firstLine="284"/>
      <w:jc w:val="both"/>
      <w:outlineLvl w:val="1"/>
    </w:pPr>
    <w:rPr>
      <w:rFonts w:eastAsia="Times New Roman"/>
      <w:i/>
      <w:snapToGrid w:val="0"/>
      <w:color w:val="000000"/>
      <w:sz w:val="20"/>
      <w:szCs w:val="20"/>
      <w:lang w:val="x-none"/>
    </w:rPr>
  </w:style>
  <w:style w:type="paragraph" w:styleId="Cmsor3">
    <w:name w:val="heading 3"/>
    <w:basedOn w:val="Norml"/>
    <w:next w:val="Norml"/>
    <w:link w:val="Cmsor3Char"/>
    <w:qFormat/>
    <w:rsid w:val="00376BC7"/>
    <w:pPr>
      <w:keepNext/>
      <w:spacing w:before="240" w:after="60"/>
      <w:outlineLvl w:val="2"/>
    </w:pPr>
    <w:rPr>
      <w:rFonts w:ascii="Arial" w:eastAsia="Times New Roman" w:hAnsi="Arial"/>
      <w:b/>
      <w:bCs/>
      <w:sz w:val="26"/>
      <w:szCs w:val="26"/>
      <w:lang w:val="x-none"/>
    </w:rPr>
  </w:style>
  <w:style w:type="paragraph" w:styleId="Cmsor4">
    <w:name w:val="heading 4"/>
    <w:basedOn w:val="Norml"/>
    <w:next w:val="Norml"/>
    <w:link w:val="Cmsor4Char"/>
    <w:unhideWhenUsed/>
    <w:qFormat/>
    <w:rsid w:val="00376BC7"/>
    <w:pPr>
      <w:keepNext/>
      <w:keepLines/>
      <w:spacing w:before="200"/>
      <w:outlineLvl w:val="3"/>
    </w:pPr>
    <w:rPr>
      <w:rFonts w:ascii="Cambria" w:eastAsia="Times New Roman" w:hAnsi="Cambria"/>
      <w:b/>
      <w:bCs/>
      <w:i/>
      <w:iCs/>
      <w:color w:val="4F81BD"/>
      <w:lang w:val="x-none" w:eastAsia="x-none"/>
    </w:rPr>
  </w:style>
  <w:style w:type="paragraph" w:styleId="Cmsor9">
    <w:name w:val="heading 9"/>
    <w:basedOn w:val="Norml"/>
    <w:next w:val="Norml"/>
    <w:link w:val="Cmsor9Char"/>
    <w:qFormat/>
    <w:rsid w:val="00376BC7"/>
    <w:pPr>
      <w:keepNext/>
      <w:tabs>
        <w:tab w:val="left" w:pos="331"/>
        <w:tab w:val="left" w:pos="1536"/>
      </w:tabs>
      <w:spacing w:after="60"/>
      <w:ind w:firstLine="284"/>
      <w:jc w:val="both"/>
      <w:outlineLvl w:val="8"/>
    </w:pPr>
    <w:rPr>
      <w:rFonts w:eastAsia="Times New Roman"/>
      <w:bCs/>
      <w:snapToGrid w:val="0"/>
      <w:color w:val="000000"/>
      <w:sz w:val="20"/>
      <w:szCs w:val="2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sid w:val="00376BC7"/>
    <w:rPr>
      <w:rFonts w:ascii="Times New Roman" w:eastAsia="Times New Roman" w:hAnsi="Times New Roman" w:cs="Times New Roman"/>
      <w:bCs/>
      <w:i/>
      <w:iCs/>
      <w:snapToGrid w:val="0"/>
      <w:color w:val="000000"/>
      <w:szCs w:val="20"/>
      <w:lang w:eastAsia="hu-HU"/>
    </w:rPr>
  </w:style>
  <w:style w:type="character" w:customStyle="1" w:styleId="Cmsor2Char">
    <w:name w:val="Címsor 2 Char"/>
    <w:link w:val="Cmsor2"/>
    <w:rsid w:val="00376BC7"/>
    <w:rPr>
      <w:rFonts w:ascii="Times New Roman" w:eastAsia="Times New Roman" w:hAnsi="Times New Roman" w:cs="Times New Roman"/>
      <w:i/>
      <w:snapToGrid w:val="0"/>
      <w:color w:val="000000"/>
      <w:szCs w:val="20"/>
      <w:lang w:eastAsia="hu-HU"/>
    </w:rPr>
  </w:style>
  <w:style w:type="character" w:customStyle="1" w:styleId="Cmsor3Char">
    <w:name w:val="Címsor 3 Char"/>
    <w:link w:val="Cmsor3"/>
    <w:rsid w:val="00376BC7"/>
    <w:rPr>
      <w:rFonts w:ascii="Arial" w:eastAsia="Times New Roman" w:hAnsi="Arial" w:cs="Arial"/>
      <w:b/>
      <w:bCs/>
      <w:sz w:val="26"/>
      <w:szCs w:val="26"/>
      <w:lang w:eastAsia="hu-HU"/>
    </w:rPr>
  </w:style>
  <w:style w:type="character" w:customStyle="1" w:styleId="Cmsor4Char">
    <w:name w:val="Címsor 4 Char"/>
    <w:link w:val="Cmsor4"/>
    <w:rsid w:val="00376BC7"/>
    <w:rPr>
      <w:rFonts w:ascii="Cambria" w:eastAsia="Times New Roman" w:hAnsi="Cambria" w:cs="Times New Roman"/>
      <w:b/>
      <w:bCs/>
      <w:i/>
      <w:iCs/>
      <w:color w:val="4F81BD"/>
      <w:sz w:val="24"/>
      <w:szCs w:val="24"/>
    </w:rPr>
  </w:style>
  <w:style w:type="character" w:customStyle="1" w:styleId="Cmsor9Char">
    <w:name w:val="Címsor 9 Char"/>
    <w:link w:val="Cmsor9"/>
    <w:rsid w:val="00376BC7"/>
    <w:rPr>
      <w:rFonts w:ascii="Times New Roman" w:eastAsia="Times New Roman" w:hAnsi="Times New Roman" w:cs="Times New Roman"/>
      <w:bCs/>
      <w:snapToGrid w:val="0"/>
      <w:color w:val="000000"/>
      <w:szCs w:val="20"/>
    </w:rPr>
  </w:style>
  <w:style w:type="paragraph" w:styleId="TJ1">
    <w:name w:val="toc 1"/>
    <w:basedOn w:val="Norml"/>
    <w:next w:val="Norml"/>
    <w:autoRedefine/>
    <w:uiPriority w:val="39"/>
    <w:unhideWhenUsed/>
    <w:qFormat/>
    <w:rsid w:val="00376BC7"/>
    <w:pPr>
      <w:spacing w:after="100"/>
    </w:pPr>
    <w:rPr>
      <w:rFonts w:eastAsia="Times New Roman"/>
      <w:sz w:val="22"/>
    </w:rPr>
  </w:style>
  <w:style w:type="paragraph" w:styleId="TJ2">
    <w:name w:val="toc 2"/>
    <w:basedOn w:val="Norml"/>
    <w:next w:val="Norml"/>
    <w:autoRedefine/>
    <w:uiPriority w:val="39"/>
    <w:unhideWhenUsed/>
    <w:qFormat/>
    <w:rsid w:val="00376BC7"/>
    <w:pPr>
      <w:tabs>
        <w:tab w:val="right" w:leader="dot" w:pos="9060"/>
      </w:tabs>
      <w:spacing w:after="100"/>
      <w:ind w:left="240"/>
    </w:pPr>
    <w:rPr>
      <w:rFonts w:eastAsia="Times New Roman"/>
      <w:b/>
      <w:noProof/>
      <w:sz w:val="22"/>
      <w:szCs w:val="22"/>
    </w:rPr>
  </w:style>
  <w:style w:type="paragraph" w:styleId="TJ3">
    <w:name w:val="toc 3"/>
    <w:basedOn w:val="Norml"/>
    <w:next w:val="Norml"/>
    <w:autoRedefine/>
    <w:uiPriority w:val="39"/>
    <w:unhideWhenUsed/>
    <w:qFormat/>
    <w:rsid w:val="00376BC7"/>
    <w:pPr>
      <w:spacing w:after="100" w:line="276" w:lineRule="auto"/>
      <w:ind w:left="440"/>
    </w:pPr>
    <w:rPr>
      <w:rFonts w:eastAsia="Times New Roman"/>
      <w:sz w:val="22"/>
      <w:szCs w:val="22"/>
      <w:lang w:eastAsia="en-US"/>
    </w:rPr>
  </w:style>
  <w:style w:type="paragraph" w:styleId="Cm">
    <w:name w:val="Title"/>
    <w:basedOn w:val="Norml"/>
    <w:link w:val="CmChar"/>
    <w:qFormat/>
    <w:rsid w:val="00376BC7"/>
    <w:pPr>
      <w:spacing w:line="240" w:lineRule="atLeast"/>
      <w:ind w:firstLine="284"/>
      <w:jc w:val="center"/>
    </w:pPr>
    <w:rPr>
      <w:rFonts w:eastAsia="Times New Roman"/>
      <w:b/>
      <w:bCs/>
      <w:lang w:val="x-none"/>
    </w:rPr>
  </w:style>
  <w:style w:type="character" w:customStyle="1" w:styleId="CmChar">
    <w:name w:val="Cím Char"/>
    <w:link w:val="Cm"/>
    <w:rsid w:val="00376BC7"/>
    <w:rPr>
      <w:rFonts w:ascii="Times New Roman" w:eastAsia="Times New Roman" w:hAnsi="Times New Roman" w:cs="Times New Roman"/>
      <w:b/>
      <w:bCs/>
      <w:sz w:val="24"/>
      <w:szCs w:val="24"/>
      <w:lang w:eastAsia="hu-HU"/>
    </w:rPr>
  </w:style>
  <w:style w:type="paragraph" w:styleId="Nincstrkz">
    <w:name w:val="No Spacing"/>
    <w:uiPriority w:val="1"/>
    <w:qFormat/>
    <w:rsid w:val="00376BC7"/>
    <w:pPr>
      <w:jc w:val="both"/>
    </w:pPr>
    <w:rPr>
      <w:sz w:val="22"/>
      <w:szCs w:val="22"/>
      <w:lang w:eastAsia="en-US"/>
    </w:rPr>
  </w:style>
  <w:style w:type="paragraph" w:styleId="Listaszerbekezds">
    <w:name w:val="List Paragraph"/>
    <w:basedOn w:val="Norml"/>
    <w:link w:val="ListaszerbekezdsChar"/>
    <w:uiPriority w:val="34"/>
    <w:qFormat/>
    <w:rsid w:val="00376BC7"/>
    <w:pPr>
      <w:spacing w:after="200" w:line="276" w:lineRule="auto"/>
      <w:ind w:left="720"/>
      <w:contextualSpacing/>
      <w:jc w:val="both"/>
    </w:pPr>
    <w:rPr>
      <w:rFonts w:ascii="Calibri" w:eastAsia="Times New Roman" w:hAnsi="Calibri"/>
      <w:sz w:val="22"/>
      <w:szCs w:val="22"/>
      <w:lang w:val="x-none" w:eastAsia="x-none"/>
    </w:rPr>
  </w:style>
  <w:style w:type="paragraph" w:styleId="Tartalomjegyzkcmsora">
    <w:name w:val="TOC Heading"/>
    <w:basedOn w:val="Cmsor1"/>
    <w:next w:val="Norml"/>
    <w:uiPriority w:val="39"/>
    <w:semiHidden/>
    <w:unhideWhenUsed/>
    <w:qFormat/>
    <w:rsid w:val="00376BC7"/>
    <w:pPr>
      <w:keepLines/>
      <w:spacing w:before="480" w:after="0" w:line="276" w:lineRule="auto"/>
      <w:ind w:firstLine="0"/>
      <w:jc w:val="left"/>
      <w:outlineLvl w:val="9"/>
    </w:pPr>
    <w:rPr>
      <w:rFonts w:ascii="Arial" w:hAnsi="Arial"/>
      <w:b/>
      <w:i w:val="0"/>
      <w:iCs w:val="0"/>
      <w:snapToGrid/>
      <w:color w:val="365F91"/>
      <w:sz w:val="28"/>
      <w:szCs w:val="28"/>
      <w:lang w:eastAsia="en-US"/>
    </w:rPr>
  </w:style>
  <w:style w:type="paragraph" w:customStyle="1" w:styleId="Cmsor3CharChar">
    <w:name w:val="Címsor3 Char Char"/>
    <w:basedOn w:val="Norml"/>
    <w:link w:val="Cmsor3CharCharChar"/>
    <w:qFormat/>
    <w:rsid w:val="00376BC7"/>
    <w:pPr>
      <w:ind w:left="360"/>
    </w:pPr>
    <w:rPr>
      <w:rFonts w:eastAsia="Times New Roman"/>
      <w:b/>
      <w:i/>
      <w:lang w:val="x-none" w:eastAsia="x-none"/>
    </w:rPr>
  </w:style>
  <w:style w:type="character" w:customStyle="1" w:styleId="Cmsor3CharCharChar">
    <w:name w:val="Címsor3 Char Char Char"/>
    <w:link w:val="Cmsor3CharChar"/>
    <w:rsid w:val="00376BC7"/>
    <w:rPr>
      <w:rFonts w:ascii="Times New Roman" w:eastAsia="Times New Roman" w:hAnsi="Times New Roman"/>
      <w:b/>
      <w:i/>
      <w:sz w:val="24"/>
      <w:szCs w:val="24"/>
    </w:rPr>
  </w:style>
  <w:style w:type="character" w:styleId="Jegyzethivatkozs">
    <w:name w:val="annotation reference"/>
    <w:uiPriority w:val="99"/>
    <w:semiHidden/>
    <w:unhideWhenUsed/>
    <w:rsid w:val="009F56F5"/>
    <w:rPr>
      <w:sz w:val="16"/>
      <w:szCs w:val="16"/>
    </w:rPr>
  </w:style>
  <w:style w:type="paragraph" w:styleId="Jegyzetszveg">
    <w:name w:val="annotation text"/>
    <w:basedOn w:val="Norml"/>
    <w:link w:val="JegyzetszvegChar"/>
    <w:uiPriority w:val="99"/>
    <w:semiHidden/>
    <w:unhideWhenUsed/>
    <w:rsid w:val="009F56F5"/>
    <w:rPr>
      <w:sz w:val="20"/>
      <w:szCs w:val="20"/>
      <w:lang w:val="x-none" w:eastAsia="x-none"/>
    </w:rPr>
  </w:style>
  <w:style w:type="character" w:customStyle="1" w:styleId="JegyzetszvegChar">
    <w:name w:val="Jegyzetszöveg Char"/>
    <w:link w:val="Jegyzetszveg"/>
    <w:uiPriority w:val="99"/>
    <w:semiHidden/>
    <w:rsid w:val="009F56F5"/>
    <w:rPr>
      <w:rFonts w:ascii="Times New Roman" w:hAnsi="Times New Roman"/>
    </w:rPr>
  </w:style>
  <w:style w:type="paragraph" w:styleId="Megjegyzstrgya">
    <w:name w:val="annotation subject"/>
    <w:basedOn w:val="Jegyzetszveg"/>
    <w:next w:val="Jegyzetszveg"/>
    <w:link w:val="MegjegyzstrgyaChar"/>
    <w:uiPriority w:val="99"/>
    <w:semiHidden/>
    <w:unhideWhenUsed/>
    <w:rsid w:val="009F56F5"/>
    <w:rPr>
      <w:b/>
      <w:bCs/>
    </w:rPr>
  </w:style>
  <w:style w:type="character" w:customStyle="1" w:styleId="MegjegyzstrgyaChar">
    <w:name w:val="Megjegyzés tárgya Char"/>
    <w:link w:val="Megjegyzstrgya"/>
    <w:uiPriority w:val="99"/>
    <w:semiHidden/>
    <w:rsid w:val="009F56F5"/>
    <w:rPr>
      <w:rFonts w:ascii="Times New Roman" w:hAnsi="Times New Roman"/>
      <w:b/>
      <w:bCs/>
    </w:rPr>
  </w:style>
  <w:style w:type="paragraph" w:styleId="Buborkszveg">
    <w:name w:val="Balloon Text"/>
    <w:basedOn w:val="Norml"/>
    <w:link w:val="BuborkszvegChar"/>
    <w:uiPriority w:val="99"/>
    <w:semiHidden/>
    <w:unhideWhenUsed/>
    <w:rsid w:val="009F56F5"/>
    <w:rPr>
      <w:rFonts w:ascii="Tahoma" w:hAnsi="Tahoma"/>
      <w:sz w:val="16"/>
      <w:szCs w:val="16"/>
      <w:lang w:val="x-none" w:eastAsia="x-none"/>
    </w:rPr>
  </w:style>
  <w:style w:type="character" w:customStyle="1" w:styleId="BuborkszvegChar">
    <w:name w:val="Buborékszöveg Char"/>
    <w:link w:val="Buborkszveg"/>
    <w:uiPriority w:val="99"/>
    <w:semiHidden/>
    <w:rsid w:val="009F56F5"/>
    <w:rPr>
      <w:rFonts w:ascii="Tahoma" w:hAnsi="Tahoma" w:cs="Tahoma"/>
      <w:sz w:val="16"/>
      <w:szCs w:val="16"/>
    </w:rPr>
  </w:style>
  <w:style w:type="paragraph" w:customStyle="1" w:styleId="Default">
    <w:name w:val="Default"/>
    <w:rsid w:val="00121155"/>
    <w:pPr>
      <w:autoSpaceDE w:val="0"/>
      <w:autoSpaceDN w:val="0"/>
      <w:adjustRightInd w:val="0"/>
    </w:pPr>
    <w:rPr>
      <w:rFonts w:ascii="Times New Roman" w:hAnsi="Times New Roman"/>
      <w:color w:val="000000"/>
      <w:sz w:val="24"/>
      <w:szCs w:val="24"/>
    </w:rPr>
  </w:style>
  <w:style w:type="character" w:customStyle="1" w:styleId="ListaszerbekezdsChar">
    <w:name w:val="Listaszerű bekezdés Char"/>
    <w:link w:val="Listaszerbekezds"/>
    <w:uiPriority w:val="4"/>
    <w:rsid w:val="00BC7439"/>
    <w:rPr>
      <w:rFonts w:eastAsia="Times New Roman"/>
      <w:sz w:val="22"/>
      <w:szCs w:val="22"/>
    </w:rPr>
  </w:style>
  <w:style w:type="paragraph" w:customStyle="1" w:styleId="Listaszerbekezds3szint">
    <w:name w:val="Listaszerű bekezdés 3. szint"/>
    <w:basedOn w:val="Listaszerbekezds"/>
    <w:uiPriority w:val="4"/>
    <w:qFormat/>
    <w:rsid w:val="00BC7439"/>
    <w:pPr>
      <w:tabs>
        <w:tab w:val="num" w:pos="360"/>
      </w:tabs>
      <w:spacing w:after="150"/>
    </w:pPr>
    <w:rPr>
      <w:rFonts w:eastAsia="Calibri"/>
      <w:sz w:val="20"/>
    </w:rPr>
  </w:style>
  <w:style w:type="paragraph" w:styleId="Vltozat">
    <w:name w:val="Revision"/>
    <w:hidden/>
    <w:uiPriority w:val="99"/>
    <w:semiHidden/>
    <w:rsid w:val="00633E57"/>
    <w:rPr>
      <w:rFonts w:ascii="Times New Roman" w:hAnsi="Times New Roman"/>
      <w:sz w:val="24"/>
      <w:szCs w:val="24"/>
    </w:rPr>
  </w:style>
  <w:style w:type="table" w:customStyle="1" w:styleId="tblzat-fejlces">
    <w:name w:val="táblázat - fejléces"/>
    <w:basedOn w:val="Normltblzat"/>
    <w:uiPriority w:val="1"/>
    <w:qFormat/>
    <w:rsid w:val="001B098C"/>
    <w:pPr>
      <w:contextualSpacing/>
    </w:pPr>
    <w:rPr>
      <w:szCs w:val="22"/>
    </w:rPr>
    <w:tblPr>
      <w:tblStyleRowBandSize w:val="1"/>
      <w:tblStyleColBandSize w:val="1"/>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Pr>
    <w:tcPr>
      <w:shd w:val="clear" w:color="auto" w:fill="auto"/>
      <w:tcMar>
        <w:top w:w="85" w:type="dxa"/>
      </w:tcMar>
      <w:vAlign w:val="center"/>
    </w:tcPr>
    <w:tblStylePr w:type="firstRow">
      <w:rPr>
        <w:rFonts w:ascii="Calibri" w:hAnsi="Calibri"/>
        <w:sz w:val="20"/>
      </w:rPr>
      <w:tblPr/>
      <w:tcPr>
        <w:shd w:val="clear" w:color="auto" w:fill="AC9F70"/>
      </w:tcPr>
    </w:tblStylePr>
    <w:tblStylePr w:type="firstCol">
      <w:rPr>
        <w:rFonts w:ascii="Calibri" w:hAnsi="Calibri"/>
        <w:sz w:val="20"/>
      </w:rPr>
    </w:tblStylePr>
  </w:style>
  <w:style w:type="character" w:customStyle="1" w:styleId="st1">
    <w:name w:val="st1"/>
    <w:rsid w:val="000F7AD2"/>
  </w:style>
  <w:style w:type="paragraph" w:styleId="Lbjegyzetszveg">
    <w:name w:val="footnote text"/>
    <w:basedOn w:val="Norml"/>
    <w:link w:val="LbjegyzetszvegChar"/>
    <w:uiPriority w:val="99"/>
    <w:semiHidden/>
    <w:unhideWhenUsed/>
    <w:rsid w:val="009A5661"/>
    <w:rPr>
      <w:sz w:val="20"/>
      <w:szCs w:val="20"/>
      <w:lang w:val="x-none" w:eastAsia="x-none"/>
    </w:rPr>
  </w:style>
  <w:style w:type="character" w:customStyle="1" w:styleId="LbjegyzetszvegChar">
    <w:name w:val="Lábjegyzetszöveg Char"/>
    <w:link w:val="Lbjegyzetszveg"/>
    <w:uiPriority w:val="99"/>
    <w:semiHidden/>
    <w:rsid w:val="009A5661"/>
    <w:rPr>
      <w:rFonts w:ascii="Times New Roman" w:hAnsi="Times New Roman"/>
    </w:rPr>
  </w:style>
  <w:style w:type="character" w:styleId="Lbjegyzet-hivatkozs">
    <w:name w:val="footnote reference"/>
    <w:uiPriority w:val="99"/>
    <w:semiHidden/>
    <w:unhideWhenUsed/>
    <w:rsid w:val="009A5661"/>
    <w:rPr>
      <w:vertAlign w:val="superscript"/>
    </w:rPr>
  </w:style>
  <w:style w:type="paragraph" w:styleId="Szvegtrzsbehzssal2">
    <w:name w:val="Body Text Indent 2"/>
    <w:basedOn w:val="Norml"/>
    <w:link w:val="Szvegtrzsbehzssal2Char"/>
    <w:rsid w:val="00280476"/>
    <w:pPr>
      <w:ind w:left="709" w:hanging="709"/>
      <w:jc w:val="both"/>
    </w:pPr>
    <w:rPr>
      <w:rFonts w:eastAsia="Times New Roman"/>
      <w:spacing w:val="-6"/>
      <w:szCs w:val="20"/>
      <w:lang w:val="x-none" w:eastAsia="x-none"/>
    </w:rPr>
  </w:style>
  <w:style w:type="character" w:customStyle="1" w:styleId="Szvegtrzsbehzssal2Char">
    <w:name w:val="Szövegtörzs behúzással 2 Char"/>
    <w:link w:val="Szvegtrzsbehzssal2"/>
    <w:rsid w:val="00280476"/>
    <w:rPr>
      <w:rFonts w:ascii="Times New Roman" w:eastAsia="Times New Roman" w:hAnsi="Times New Roman"/>
      <w:spacing w:val="-6"/>
      <w:sz w:val="24"/>
      <w:lang w:val="x-none" w:eastAsia="x-none"/>
    </w:rPr>
  </w:style>
  <w:style w:type="paragraph" w:customStyle="1" w:styleId="Baseparagraphnumbered">
    <w:name w:val="Base paragraph numbered"/>
    <w:basedOn w:val="Norml"/>
    <w:link w:val="BaseparagraphnumberedChar"/>
    <w:qFormat/>
    <w:rsid w:val="005E7560"/>
    <w:pPr>
      <w:numPr>
        <w:numId w:val="5"/>
      </w:numPr>
      <w:spacing w:after="240"/>
      <w:jc w:val="both"/>
    </w:pPr>
    <w:rPr>
      <w:rFonts w:eastAsia="Times New Roman"/>
      <w:lang w:eastAsia="en-GB"/>
    </w:rPr>
  </w:style>
  <w:style w:type="character" w:customStyle="1" w:styleId="BaseparagraphnumberedChar">
    <w:name w:val="Base paragraph numbered Char"/>
    <w:link w:val="Baseparagraphnumbered"/>
    <w:rsid w:val="005E7560"/>
    <w:rPr>
      <w:rFonts w:ascii="Times New Roman" w:eastAsia="Times New Roman" w:hAnsi="Times New Roman"/>
      <w:sz w:val="24"/>
      <w:szCs w:val="24"/>
      <w:lang w:eastAsia="en-GB"/>
    </w:rPr>
  </w:style>
  <w:style w:type="paragraph" w:customStyle="1" w:styleId="InstructionsText2">
    <w:name w:val="Instructions Text 2"/>
    <w:basedOn w:val="Norml"/>
    <w:qFormat/>
    <w:rsid w:val="005E7560"/>
    <w:pPr>
      <w:spacing w:after="240"/>
      <w:jc w:val="both"/>
    </w:pPr>
    <w:rPr>
      <w:rFonts w:eastAsia="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877870">
      <w:bodyDiv w:val="1"/>
      <w:marLeft w:val="0"/>
      <w:marRight w:val="0"/>
      <w:marTop w:val="0"/>
      <w:marBottom w:val="0"/>
      <w:divBdr>
        <w:top w:val="none" w:sz="0" w:space="0" w:color="auto"/>
        <w:left w:val="none" w:sz="0" w:space="0" w:color="auto"/>
        <w:bottom w:val="none" w:sz="0" w:space="0" w:color="auto"/>
        <w:right w:val="none" w:sz="0" w:space="0" w:color="auto"/>
      </w:divBdr>
    </w:div>
    <w:div w:id="110781034">
      <w:bodyDiv w:val="1"/>
      <w:marLeft w:val="0"/>
      <w:marRight w:val="0"/>
      <w:marTop w:val="0"/>
      <w:marBottom w:val="0"/>
      <w:divBdr>
        <w:top w:val="none" w:sz="0" w:space="0" w:color="auto"/>
        <w:left w:val="none" w:sz="0" w:space="0" w:color="auto"/>
        <w:bottom w:val="none" w:sz="0" w:space="0" w:color="auto"/>
        <w:right w:val="none" w:sz="0" w:space="0" w:color="auto"/>
      </w:divBdr>
    </w:div>
    <w:div w:id="832449298">
      <w:bodyDiv w:val="1"/>
      <w:marLeft w:val="0"/>
      <w:marRight w:val="0"/>
      <w:marTop w:val="0"/>
      <w:marBottom w:val="0"/>
      <w:divBdr>
        <w:top w:val="none" w:sz="0" w:space="0" w:color="auto"/>
        <w:left w:val="none" w:sz="0" w:space="0" w:color="auto"/>
        <w:bottom w:val="none" w:sz="0" w:space="0" w:color="auto"/>
        <w:right w:val="none" w:sz="0" w:space="0" w:color="auto"/>
      </w:divBdr>
      <w:divsChild>
        <w:div w:id="765662204">
          <w:marLeft w:val="0"/>
          <w:marRight w:val="0"/>
          <w:marTop w:val="0"/>
          <w:marBottom w:val="0"/>
          <w:divBdr>
            <w:top w:val="none" w:sz="0" w:space="0" w:color="auto"/>
            <w:left w:val="none" w:sz="0" w:space="0" w:color="auto"/>
            <w:bottom w:val="none" w:sz="0" w:space="0" w:color="auto"/>
            <w:right w:val="none" w:sz="0" w:space="0" w:color="auto"/>
          </w:divBdr>
          <w:divsChild>
            <w:div w:id="1371149918">
              <w:marLeft w:val="0"/>
              <w:marRight w:val="0"/>
              <w:marTop w:val="0"/>
              <w:marBottom w:val="0"/>
              <w:divBdr>
                <w:top w:val="none" w:sz="0" w:space="0" w:color="auto"/>
                <w:left w:val="none" w:sz="0" w:space="0" w:color="auto"/>
                <w:bottom w:val="none" w:sz="0" w:space="0" w:color="auto"/>
                <w:right w:val="none" w:sz="0" w:space="0" w:color="auto"/>
              </w:divBdr>
              <w:divsChild>
                <w:div w:id="695427037">
                  <w:marLeft w:val="0"/>
                  <w:marRight w:val="0"/>
                  <w:marTop w:val="0"/>
                  <w:marBottom w:val="0"/>
                  <w:divBdr>
                    <w:top w:val="none" w:sz="0" w:space="0" w:color="auto"/>
                    <w:left w:val="none" w:sz="0" w:space="0" w:color="auto"/>
                    <w:bottom w:val="none" w:sz="0" w:space="0" w:color="auto"/>
                    <w:right w:val="none" w:sz="0" w:space="0" w:color="auto"/>
                  </w:divBdr>
                  <w:divsChild>
                    <w:div w:id="548150749">
                      <w:marLeft w:val="0"/>
                      <w:marRight w:val="0"/>
                      <w:marTop w:val="0"/>
                      <w:marBottom w:val="0"/>
                      <w:divBdr>
                        <w:top w:val="none" w:sz="0" w:space="0" w:color="auto"/>
                        <w:left w:val="none" w:sz="0" w:space="0" w:color="auto"/>
                        <w:bottom w:val="none" w:sz="0" w:space="0" w:color="auto"/>
                        <w:right w:val="none" w:sz="0" w:space="0" w:color="auto"/>
                      </w:divBdr>
                      <w:divsChild>
                        <w:div w:id="948514657">
                          <w:marLeft w:val="0"/>
                          <w:marRight w:val="0"/>
                          <w:marTop w:val="0"/>
                          <w:marBottom w:val="0"/>
                          <w:divBdr>
                            <w:top w:val="none" w:sz="0" w:space="0" w:color="auto"/>
                            <w:left w:val="none" w:sz="0" w:space="0" w:color="auto"/>
                            <w:bottom w:val="none" w:sz="0" w:space="0" w:color="auto"/>
                            <w:right w:val="none" w:sz="0" w:space="0" w:color="auto"/>
                          </w:divBdr>
                          <w:divsChild>
                            <w:div w:id="1640304262">
                              <w:marLeft w:val="0"/>
                              <w:marRight w:val="0"/>
                              <w:marTop w:val="0"/>
                              <w:marBottom w:val="0"/>
                              <w:divBdr>
                                <w:top w:val="none" w:sz="0" w:space="0" w:color="auto"/>
                                <w:left w:val="none" w:sz="0" w:space="0" w:color="auto"/>
                                <w:bottom w:val="none" w:sz="0" w:space="0" w:color="auto"/>
                                <w:right w:val="none" w:sz="0" w:space="0" w:color="auto"/>
                              </w:divBdr>
                              <w:divsChild>
                                <w:div w:id="549273013">
                                  <w:marLeft w:val="0"/>
                                  <w:marRight w:val="0"/>
                                  <w:marTop w:val="0"/>
                                  <w:marBottom w:val="0"/>
                                  <w:divBdr>
                                    <w:top w:val="none" w:sz="0" w:space="0" w:color="auto"/>
                                    <w:left w:val="none" w:sz="0" w:space="0" w:color="auto"/>
                                    <w:bottom w:val="none" w:sz="0" w:space="0" w:color="auto"/>
                                    <w:right w:val="none" w:sz="0" w:space="0" w:color="auto"/>
                                  </w:divBdr>
                                  <w:divsChild>
                                    <w:div w:id="297615362">
                                      <w:marLeft w:val="0"/>
                                      <w:marRight w:val="0"/>
                                      <w:marTop w:val="0"/>
                                      <w:marBottom w:val="0"/>
                                      <w:divBdr>
                                        <w:top w:val="none" w:sz="0" w:space="0" w:color="auto"/>
                                        <w:left w:val="none" w:sz="0" w:space="0" w:color="auto"/>
                                        <w:bottom w:val="none" w:sz="0" w:space="0" w:color="auto"/>
                                        <w:right w:val="none" w:sz="0" w:space="0" w:color="auto"/>
                                      </w:divBdr>
                                      <w:divsChild>
                                        <w:div w:id="959799627">
                                          <w:marLeft w:val="0"/>
                                          <w:marRight w:val="0"/>
                                          <w:marTop w:val="0"/>
                                          <w:marBottom w:val="0"/>
                                          <w:divBdr>
                                            <w:top w:val="none" w:sz="0" w:space="0" w:color="auto"/>
                                            <w:left w:val="none" w:sz="0" w:space="0" w:color="auto"/>
                                            <w:bottom w:val="none" w:sz="0" w:space="0" w:color="auto"/>
                                            <w:right w:val="none" w:sz="0" w:space="0" w:color="auto"/>
                                          </w:divBdr>
                                          <w:divsChild>
                                            <w:div w:id="1926844143">
                                              <w:marLeft w:val="0"/>
                                              <w:marRight w:val="0"/>
                                              <w:marTop w:val="0"/>
                                              <w:marBottom w:val="495"/>
                                              <w:divBdr>
                                                <w:top w:val="none" w:sz="0" w:space="0" w:color="auto"/>
                                                <w:left w:val="none" w:sz="0" w:space="0" w:color="auto"/>
                                                <w:bottom w:val="none" w:sz="0" w:space="0" w:color="auto"/>
                                                <w:right w:val="none" w:sz="0" w:space="0" w:color="auto"/>
                                              </w:divBdr>
                                              <w:divsChild>
                                                <w:div w:id="1400639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59082366">
      <w:bodyDiv w:val="1"/>
      <w:marLeft w:val="0"/>
      <w:marRight w:val="0"/>
      <w:marTop w:val="0"/>
      <w:marBottom w:val="0"/>
      <w:divBdr>
        <w:top w:val="none" w:sz="0" w:space="0" w:color="auto"/>
        <w:left w:val="none" w:sz="0" w:space="0" w:color="auto"/>
        <w:bottom w:val="none" w:sz="0" w:space="0" w:color="auto"/>
        <w:right w:val="none" w:sz="0" w:space="0" w:color="auto"/>
      </w:divBdr>
    </w:div>
    <w:div w:id="1461804877">
      <w:bodyDiv w:val="1"/>
      <w:marLeft w:val="0"/>
      <w:marRight w:val="0"/>
      <w:marTop w:val="0"/>
      <w:marBottom w:val="0"/>
      <w:divBdr>
        <w:top w:val="none" w:sz="0" w:space="0" w:color="auto"/>
        <w:left w:val="none" w:sz="0" w:space="0" w:color="auto"/>
        <w:bottom w:val="none" w:sz="0" w:space="0" w:color="auto"/>
        <w:right w:val="none" w:sz="0" w:space="0" w:color="auto"/>
      </w:divBdr>
    </w:div>
    <w:div w:id="1560939747">
      <w:bodyDiv w:val="1"/>
      <w:marLeft w:val="0"/>
      <w:marRight w:val="0"/>
      <w:marTop w:val="0"/>
      <w:marBottom w:val="0"/>
      <w:divBdr>
        <w:top w:val="none" w:sz="0" w:space="0" w:color="auto"/>
        <w:left w:val="none" w:sz="0" w:space="0" w:color="auto"/>
        <w:bottom w:val="none" w:sz="0" w:space="0" w:color="auto"/>
        <w:right w:val="none" w:sz="0" w:space="0" w:color="auto"/>
      </w:divBdr>
    </w:div>
    <w:div w:id="1569534307">
      <w:bodyDiv w:val="1"/>
      <w:marLeft w:val="0"/>
      <w:marRight w:val="0"/>
      <w:marTop w:val="0"/>
      <w:marBottom w:val="0"/>
      <w:divBdr>
        <w:top w:val="none" w:sz="0" w:space="0" w:color="auto"/>
        <w:left w:val="none" w:sz="0" w:space="0" w:color="auto"/>
        <w:bottom w:val="none" w:sz="0" w:space="0" w:color="auto"/>
        <w:right w:val="none" w:sz="0" w:space="0" w:color="auto"/>
      </w:divBdr>
    </w:div>
    <w:div w:id="1939678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455BC9-FFD8-42C5-8052-3E86F670F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21</Pages>
  <Words>6346</Words>
  <Characters>43795</Characters>
  <Application>Microsoft Office Word</Application>
  <DocSecurity>0</DocSecurity>
  <Lines>364</Lines>
  <Paragraphs>100</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Magyar Nemzeti Bank</Company>
  <LinksUpToDate>false</LinksUpToDate>
  <CharactersWithSpaces>50041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Szabóné Kovács Krisztina</dc:creator>
  <cp:keywords/>
  <cp:lastModifiedBy>MNB</cp:lastModifiedBy>
  <cp:revision>18</cp:revision>
  <dcterms:created xsi:type="dcterms:W3CDTF">2021-10-19T11:25:00Z</dcterms:created>
  <dcterms:modified xsi:type="dcterms:W3CDTF">2024-12-04T11:05:00Z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pintercs@mnb.hu</vt:lpwstr>
  </property>
  <property fmtid="{D5CDD505-2E9C-101B-9397-08002B2CF9AE}" pid="6" name="MSIP_Label_b0d11092-50c9-4e74-84b5-b1af078dc3d0_SetDate">
    <vt:lpwstr>2018-09-24T10:34:51.7040487+02:00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2024-07-02T14:29:27Z</vt:filetime>
  </property>
  <property fmtid="{D5CDD505-2E9C-101B-9397-08002B2CF9AE}" pid="12" name="Érvényességet beállító">
    <vt:lpwstr>gubeknei</vt:lpwstr>
  </property>
  <property fmtid="{D5CDD505-2E9C-101B-9397-08002B2CF9AE}" pid="13" name="Érvényességi idő első beállítása">
    <vt:filetime>2019-07-02T14:29:30Z</vt:filetime>
  </property>
</Properties>
</file>